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8587E" w:rsidR="00A76820" w:rsidP="003E6896" w:rsidRDefault="009D52B5" w14:paraId="1E2854E6" w14:textId="77777777">
      <w:pPr>
        <w:widowControl w:val="0"/>
        <w:spacing w:after="0"/>
        <w:jc w:val="center"/>
        <w:rPr>
          <w:rFonts w:asciiTheme="majorBidi" w:hAnsiTheme="majorBidi" w:cstheme="majorBidi"/>
          <w:b/>
          <w:sz w:val="26"/>
          <w:szCs w:val="26"/>
        </w:rPr>
      </w:pPr>
      <w:bookmarkStart w:name="_Hlk518569418" w:id="0"/>
      <w:bookmarkStart w:name="_Hlk494968227" w:id="1"/>
      <w:r w:rsidRPr="0048587E">
        <w:rPr>
          <w:rFonts w:asciiTheme="majorBidi" w:hAnsiTheme="majorBidi" w:cstheme="majorBidi"/>
          <w:b/>
          <w:sz w:val="26"/>
          <w:szCs w:val="26"/>
        </w:rPr>
        <w:t xml:space="preserve">IN THE </w:t>
      </w:r>
      <w:r w:rsidRPr="0048587E" w:rsidR="00A7507B">
        <w:rPr>
          <w:rFonts w:asciiTheme="majorBidi" w:hAnsiTheme="majorBidi" w:cstheme="majorBidi"/>
          <w:b/>
          <w:sz w:val="26"/>
          <w:szCs w:val="26"/>
        </w:rPr>
        <w:t>UNITED STATES DISTRICT COURT</w:t>
      </w:r>
    </w:p>
    <w:p w:rsidRPr="0048587E" w:rsidR="00A7507B" w:rsidP="501E36CA" w:rsidRDefault="00A7507B" w14:paraId="0C4DC2AA" w14:textId="1CCF5D23">
      <w:pPr>
        <w:widowControl w:val="0"/>
        <w:spacing w:after="0"/>
        <w:jc w:val="center"/>
        <w:rPr>
          <w:rFonts w:ascii="Times New Roman" w:hAnsi="Times New Roman" w:cs="Times New Roman" w:asciiTheme="majorBidi" w:hAnsiTheme="majorBidi" w:cstheme="majorBidi"/>
          <w:b w:val="1"/>
          <w:bCs w:val="1"/>
          <w:sz w:val="26"/>
          <w:szCs w:val="26"/>
        </w:rPr>
      </w:pPr>
      <w:r w:rsidRPr="501E36CA" w:rsidR="5A0BCC5B">
        <w:rPr>
          <w:rFonts w:ascii="Times New Roman" w:hAnsi="Times New Roman" w:cs="Times New Roman" w:asciiTheme="majorBidi" w:hAnsiTheme="majorBidi" w:cstheme="majorBidi"/>
          <w:b w:val="1"/>
          <w:bCs w:val="1"/>
          <w:sz w:val="26"/>
          <w:szCs w:val="26"/>
        </w:rPr>
        <w:t>a</w:t>
      </w:r>
      <w:r w:rsidRPr="501E36CA" w:rsidR="00A7507B">
        <w:rPr>
          <w:rFonts w:ascii="Times New Roman" w:hAnsi="Times New Roman" w:cs="Times New Roman" w:asciiTheme="majorBidi" w:hAnsiTheme="majorBidi" w:cstheme="majorBidi"/>
          <w:b w:val="1"/>
          <w:bCs w:val="1"/>
          <w:sz w:val="26"/>
          <w:szCs w:val="26"/>
        </w:rPr>
        <w:t>FOR THE DISTRICT OF MINNESOTA</w:t>
      </w:r>
    </w:p>
    <w:p w:rsidRPr="0048587E" w:rsidR="00CE3A3E" w:rsidP="003E6896" w:rsidRDefault="00CE3A3E" w14:paraId="193BF4C9" w14:textId="77777777">
      <w:pPr>
        <w:widowControl w:val="0"/>
        <w:spacing w:after="0"/>
        <w:jc w:val="center"/>
        <w:rPr>
          <w:rFonts w:asciiTheme="majorBidi" w:hAnsiTheme="majorBidi" w:cstheme="majorBidi"/>
          <w:sz w:val="26"/>
          <w:szCs w:val="26"/>
        </w:rPr>
      </w:pPr>
    </w:p>
    <w:bookmarkEnd w:id="0"/>
    <w:bookmarkEnd w:id="1"/>
    <w:tbl>
      <w:tblPr>
        <w:tblStyle w:val="TableGrid"/>
        <w:tblW w:w="0" w:type="auto"/>
        <w:tblBorders>
          <w:left w:val="none" w:color="auto" w:sz="0" w:space="0"/>
          <w:right w:val="none" w:color="auto" w:sz="0" w:space="0"/>
        </w:tblBorders>
        <w:tblLook w:val="04A0" w:firstRow="1" w:lastRow="0" w:firstColumn="1" w:lastColumn="0" w:noHBand="0" w:noVBand="1"/>
      </w:tblPr>
      <w:tblGrid>
        <w:gridCol w:w="5040"/>
        <w:gridCol w:w="4310"/>
      </w:tblGrid>
      <w:tr w:rsidRPr="0048587E" w:rsidR="00CE3A3E" w:rsidTr="00CE6449" w14:paraId="54C73C25" w14:textId="77777777">
        <w:tc>
          <w:tcPr>
            <w:tcW w:w="5040" w:type="dxa"/>
          </w:tcPr>
          <w:p w:rsidRPr="0048587E" w:rsidR="00CE3A3E" w:rsidP="00CE6449" w:rsidRDefault="00CE3A3E" w14:paraId="0C4DD2CF" w14:textId="77777777">
            <w:pPr>
              <w:pStyle w:val="Pleading"/>
              <w:rPr>
                <w:rFonts w:eastAsia="Calibri" w:asciiTheme="majorBidi" w:hAnsiTheme="majorBidi" w:cstheme="majorBidi"/>
                <w:b/>
                <w:sz w:val="26"/>
                <w:szCs w:val="26"/>
              </w:rPr>
            </w:pPr>
          </w:p>
          <w:p w:rsidRPr="0048587E" w:rsidR="00CE3A3E" w:rsidP="00CE6449" w:rsidRDefault="005A728C" w14:paraId="209CFB2F" w14:textId="2AA3F801">
            <w:pPr>
              <w:pStyle w:val="Pleading"/>
              <w:rPr>
                <w:rFonts w:eastAsia="Calibri" w:asciiTheme="majorBidi" w:hAnsiTheme="majorBidi" w:cstheme="majorBidi"/>
                <w:b/>
                <w:sz w:val="26"/>
                <w:szCs w:val="26"/>
              </w:rPr>
            </w:pPr>
            <w:r>
              <w:rPr>
                <w:rFonts w:eastAsia="Calibri" w:asciiTheme="majorBidi" w:hAnsiTheme="majorBidi" w:cstheme="majorBidi"/>
                <w:b/>
                <w:sz w:val="26"/>
                <w:szCs w:val="26"/>
              </w:rPr>
              <w:t>NAME</w:t>
            </w:r>
            <w:r w:rsidRPr="0048587E" w:rsidR="00CE3A3E">
              <w:rPr>
                <w:rFonts w:eastAsia="Calibri" w:asciiTheme="majorBidi" w:hAnsiTheme="majorBidi" w:cstheme="majorBidi"/>
                <w:b/>
                <w:sz w:val="26"/>
                <w:szCs w:val="26"/>
              </w:rPr>
              <w:t>,</w:t>
            </w:r>
          </w:p>
          <w:p w:rsidRPr="0048587E" w:rsidR="00CE3A3E" w:rsidP="00CE6449" w:rsidRDefault="00CE3A3E" w14:paraId="415D0574" w14:textId="77777777">
            <w:pPr>
              <w:pStyle w:val="Pleading"/>
              <w:rPr>
                <w:rFonts w:eastAsia="Calibri" w:asciiTheme="majorBidi" w:hAnsiTheme="majorBidi" w:cstheme="majorBidi"/>
                <w:b/>
                <w:sz w:val="26"/>
                <w:szCs w:val="26"/>
              </w:rPr>
            </w:pPr>
          </w:p>
          <w:p w:rsidRPr="0048587E" w:rsidR="00CE3A3E" w:rsidP="00CE6449" w:rsidRDefault="00CE3A3E" w14:paraId="28A702A4" w14:textId="77777777">
            <w:pPr>
              <w:pStyle w:val="Pleading"/>
              <w:rPr>
                <w:rFonts w:eastAsia="Calibri" w:asciiTheme="majorBidi" w:hAnsiTheme="majorBidi" w:cstheme="majorBidi"/>
                <w:sz w:val="26"/>
                <w:szCs w:val="26"/>
              </w:rPr>
            </w:pPr>
            <w:r w:rsidRPr="0048587E">
              <w:rPr>
                <w:rFonts w:eastAsia="Calibri" w:asciiTheme="majorBidi" w:hAnsiTheme="majorBidi" w:cstheme="majorBidi"/>
                <w:b/>
                <w:sz w:val="26"/>
                <w:szCs w:val="26"/>
              </w:rPr>
              <w:tab/>
            </w:r>
            <w:r w:rsidRPr="0048587E">
              <w:rPr>
                <w:rFonts w:eastAsia="Calibri" w:asciiTheme="majorBidi" w:hAnsiTheme="majorBidi" w:cstheme="majorBidi"/>
                <w:b/>
                <w:sz w:val="26"/>
                <w:szCs w:val="26"/>
              </w:rPr>
              <w:tab/>
            </w:r>
            <w:r w:rsidRPr="0048587E">
              <w:rPr>
                <w:rFonts w:eastAsia="Calibri" w:asciiTheme="majorBidi" w:hAnsiTheme="majorBidi" w:cstheme="majorBidi"/>
                <w:sz w:val="26"/>
                <w:szCs w:val="26"/>
              </w:rPr>
              <w:t>Petitioner,</w:t>
            </w:r>
          </w:p>
          <w:p w:rsidRPr="0048587E" w:rsidR="00CE3A3E" w:rsidP="00CE6449" w:rsidRDefault="00CE3A3E" w14:paraId="2A1D1CB4" w14:textId="77777777">
            <w:pPr>
              <w:pStyle w:val="Pleading"/>
              <w:rPr>
                <w:rFonts w:eastAsia="Calibri" w:asciiTheme="majorBidi" w:hAnsiTheme="majorBidi" w:cstheme="majorBidi"/>
                <w:sz w:val="26"/>
                <w:szCs w:val="26"/>
              </w:rPr>
            </w:pPr>
          </w:p>
          <w:p w:rsidRPr="0048587E" w:rsidR="00CE3A3E" w:rsidP="00CE6449" w:rsidRDefault="00CE3A3E" w14:paraId="39E2F80A" w14:textId="77777777">
            <w:pPr>
              <w:pStyle w:val="Pleading"/>
              <w:rPr>
                <w:rFonts w:eastAsia="Calibri" w:asciiTheme="majorBidi" w:hAnsiTheme="majorBidi" w:cstheme="majorBidi"/>
                <w:sz w:val="26"/>
                <w:szCs w:val="26"/>
              </w:rPr>
            </w:pPr>
            <w:r w:rsidRPr="0048587E">
              <w:rPr>
                <w:rFonts w:eastAsia="Calibri" w:asciiTheme="majorBidi" w:hAnsiTheme="majorBidi" w:cstheme="majorBidi"/>
                <w:sz w:val="26"/>
                <w:szCs w:val="26"/>
              </w:rPr>
              <w:tab/>
            </w:r>
            <w:r w:rsidRPr="0048587E">
              <w:rPr>
                <w:rFonts w:eastAsia="Calibri" w:asciiTheme="majorBidi" w:hAnsiTheme="majorBidi" w:cstheme="majorBidi"/>
                <w:sz w:val="26"/>
                <w:szCs w:val="26"/>
              </w:rPr>
              <w:t>v.</w:t>
            </w:r>
          </w:p>
          <w:p w:rsidRPr="0048587E" w:rsidR="00CE3A3E" w:rsidP="00CE6449" w:rsidRDefault="00CE3A3E" w14:paraId="53525885" w14:textId="77777777">
            <w:pPr>
              <w:pStyle w:val="Pleading"/>
              <w:rPr>
                <w:rFonts w:eastAsia="Calibri" w:asciiTheme="majorBidi" w:hAnsiTheme="majorBidi" w:cstheme="majorBidi"/>
                <w:b/>
                <w:sz w:val="26"/>
                <w:szCs w:val="26"/>
              </w:rPr>
            </w:pPr>
          </w:p>
          <w:p w:rsidRPr="0048587E" w:rsidR="00CE3A3E" w:rsidP="00CE6449" w:rsidRDefault="00CE3A3E" w14:paraId="191ACBB2" w14:textId="47DEAA9A">
            <w:pPr>
              <w:pStyle w:val="Pleading"/>
              <w:rPr>
                <w:rFonts w:eastAsia="Calibri" w:asciiTheme="majorBidi" w:hAnsiTheme="majorBidi" w:cstheme="majorBidi"/>
                <w:bCs/>
                <w:sz w:val="26"/>
                <w:szCs w:val="26"/>
              </w:rPr>
            </w:pPr>
            <w:r w:rsidRPr="0048587E">
              <w:rPr>
                <w:rFonts w:eastAsia="Calibri" w:asciiTheme="majorBidi" w:hAnsiTheme="majorBidi" w:cstheme="majorBidi"/>
                <w:b/>
                <w:sz w:val="26"/>
                <w:szCs w:val="26"/>
              </w:rPr>
              <w:t>Matthew G. WHITAKER,</w:t>
            </w:r>
          </w:p>
          <w:p w:rsidRPr="0048587E" w:rsidR="00CE3A3E" w:rsidP="00CE6449" w:rsidRDefault="00CE3A3E" w14:paraId="34053C4A" w14:textId="77777777">
            <w:pPr>
              <w:pStyle w:val="Pleading"/>
              <w:rPr>
                <w:rFonts w:eastAsia="Calibri" w:asciiTheme="majorBidi" w:hAnsiTheme="majorBidi" w:cstheme="majorBidi"/>
                <w:sz w:val="26"/>
                <w:szCs w:val="26"/>
              </w:rPr>
            </w:pPr>
            <w:r w:rsidRPr="0048587E">
              <w:rPr>
                <w:rFonts w:eastAsia="Calibri" w:asciiTheme="majorBidi" w:hAnsiTheme="majorBidi" w:cstheme="majorBidi"/>
                <w:sz w:val="26"/>
                <w:szCs w:val="26"/>
              </w:rPr>
              <w:t xml:space="preserve">Acting U.S. Attorney General, et al., </w:t>
            </w:r>
          </w:p>
          <w:p w:rsidRPr="0048587E" w:rsidR="00CE3A3E" w:rsidP="00CE6449" w:rsidRDefault="00CE3A3E" w14:paraId="47E6A771" w14:textId="77777777">
            <w:pPr>
              <w:pStyle w:val="Pleading"/>
              <w:rPr>
                <w:rFonts w:eastAsia="Calibri" w:asciiTheme="majorBidi" w:hAnsiTheme="majorBidi" w:cstheme="majorBidi"/>
                <w:b/>
                <w:sz w:val="26"/>
                <w:szCs w:val="26"/>
              </w:rPr>
            </w:pPr>
            <w:r w:rsidRPr="0048587E">
              <w:rPr>
                <w:rFonts w:eastAsia="Calibri" w:asciiTheme="majorBidi" w:hAnsiTheme="majorBidi" w:cstheme="majorBidi"/>
                <w:b/>
                <w:sz w:val="26"/>
                <w:szCs w:val="26"/>
              </w:rPr>
              <w:tab/>
            </w:r>
            <w:r w:rsidRPr="0048587E">
              <w:rPr>
                <w:rFonts w:eastAsia="Calibri" w:asciiTheme="majorBidi" w:hAnsiTheme="majorBidi" w:cstheme="majorBidi"/>
                <w:b/>
                <w:sz w:val="26"/>
                <w:szCs w:val="26"/>
              </w:rPr>
              <w:tab/>
            </w:r>
          </w:p>
          <w:p w:rsidRPr="0048587E" w:rsidR="00CE3A3E" w:rsidP="00CE6449" w:rsidRDefault="00CE3A3E" w14:paraId="76B27B9B" w14:textId="77777777">
            <w:pPr>
              <w:pStyle w:val="Pleading"/>
              <w:rPr>
                <w:rFonts w:eastAsia="Calibri" w:asciiTheme="majorBidi" w:hAnsiTheme="majorBidi" w:cstheme="majorBidi"/>
                <w:sz w:val="26"/>
                <w:szCs w:val="26"/>
              </w:rPr>
            </w:pPr>
            <w:r w:rsidRPr="0048587E">
              <w:rPr>
                <w:rFonts w:eastAsia="Calibri" w:asciiTheme="majorBidi" w:hAnsiTheme="majorBidi" w:cstheme="majorBidi"/>
                <w:b/>
                <w:sz w:val="26"/>
                <w:szCs w:val="26"/>
              </w:rPr>
              <w:tab/>
            </w:r>
            <w:r w:rsidRPr="0048587E">
              <w:rPr>
                <w:rFonts w:eastAsia="Calibri" w:asciiTheme="majorBidi" w:hAnsiTheme="majorBidi" w:cstheme="majorBidi"/>
                <w:b/>
                <w:sz w:val="26"/>
                <w:szCs w:val="26"/>
              </w:rPr>
              <w:tab/>
            </w:r>
            <w:r w:rsidRPr="0048587E">
              <w:rPr>
                <w:rFonts w:eastAsia="Calibri" w:asciiTheme="majorBidi" w:hAnsiTheme="majorBidi" w:cstheme="majorBidi"/>
                <w:sz w:val="26"/>
                <w:szCs w:val="26"/>
              </w:rPr>
              <w:t>Respondents.</w:t>
            </w:r>
          </w:p>
          <w:p w:rsidRPr="0048587E" w:rsidR="00CE3A3E" w:rsidP="00CE6449" w:rsidRDefault="00CE3A3E" w14:paraId="383CD62E" w14:textId="77777777">
            <w:pPr>
              <w:pStyle w:val="Pleading"/>
              <w:rPr>
                <w:rFonts w:eastAsia="Calibri" w:asciiTheme="majorBidi" w:hAnsiTheme="majorBidi" w:cstheme="majorBidi"/>
                <w:b/>
                <w:sz w:val="26"/>
                <w:szCs w:val="26"/>
              </w:rPr>
            </w:pPr>
          </w:p>
        </w:tc>
        <w:tc>
          <w:tcPr>
            <w:tcW w:w="4310" w:type="dxa"/>
            <w:tcBorders>
              <w:top w:val="nil"/>
              <w:bottom w:val="nil"/>
            </w:tcBorders>
          </w:tcPr>
          <w:p w:rsidRPr="0048587E" w:rsidR="00CE3A3E" w:rsidP="00CE6449" w:rsidRDefault="00CE3A3E" w14:paraId="10F179B5" w14:textId="77777777">
            <w:pPr>
              <w:pStyle w:val="Pleading"/>
              <w:rPr>
                <w:rFonts w:eastAsia="Calibri" w:asciiTheme="majorBidi" w:hAnsiTheme="majorBidi" w:cstheme="majorBidi"/>
                <w:b/>
                <w:sz w:val="26"/>
                <w:szCs w:val="26"/>
              </w:rPr>
            </w:pPr>
          </w:p>
          <w:p w:rsidRPr="0048587E" w:rsidR="00CE3A3E" w:rsidP="00CE6449" w:rsidRDefault="00CE3A3E" w14:paraId="1AD6C3D0" w14:textId="77777777">
            <w:pPr>
              <w:pStyle w:val="Pleading"/>
              <w:rPr>
                <w:rFonts w:eastAsia="Calibri" w:asciiTheme="majorBidi" w:hAnsiTheme="majorBidi" w:cstheme="majorBidi"/>
                <w:b/>
                <w:sz w:val="26"/>
                <w:szCs w:val="26"/>
              </w:rPr>
            </w:pPr>
          </w:p>
          <w:p w:rsidRPr="0048587E" w:rsidR="00CE3A3E" w:rsidP="00CE6449" w:rsidRDefault="00CE3A3E" w14:paraId="254829E4" w14:textId="77777777">
            <w:pPr>
              <w:pStyle w:val="Pleading"/>
              <w:rPr>
                <w:rFonts w:eastAsia="Calibri" w:asciiTheme="majorBidi" w:hAnsiTheme="majorBidi" w:cstheme="majorBidi"/>
                <w:sz w:val="26"/>
                <w:szCs w:val="26"/>
              </w:rPr>
            </w:pPr>
          </w:p>
          <w:p w:rsidRPr="0048587E" w:rsidR="00CE3A3E" w:rsidP="00CE6449" w:rsidRDefault="00CE3A3E" w14:paraId="3C22B8BC" w14:textId="739A6571">
            <w:pPr>
              <w:pStyle w:val="Pleading"/>
              <w:rPr>
                <w:rFonts w:eastAsia="Calibri" w:asciiTheme="majorBidi" w:hAnsiTheme="majorBidi" w:cstheme="majorBidi"/>
                <w:sz w:val="26"/>
                <w:szCs w:val="26"/>
              </w:rPr>
            </w:pPr>
            <w:r w:rsidRPr="0048587E">
              <w:rPr>
                <w:rFonts w:eastAsia="Calibri" w:asciiTheme="majorBidi" w:hAnsiTheme="majorBidi" w:cstheme="majorBidi"/>
                <w:sz w:val="26"/>
                <w:szCs w:val="26"/>
              </w:rPr>
              <w:t>Civil No.: 18-cv-</w:t>
            </w:r>
            <w:r w:rsidR="005A728C">
              <w:rPr>
                <w:rFonts w:eastAsia="Calibri" w:asciiTheme="majorBidi" w:hAnsiTheme="majorBidi" w:cstheme="majorBidi"/>
                <w:sz w:val="26"/>
                <w:szCs w:val="26"/>
              </w:rPr>
              <w:t>_________</w:t>
            </w:r>
          </w:p>
          <w:p w:rsidRPr="0048587E" w:rsidR="00CE3A3E" w:rsidP="00CE6449" w:rsidRDefault="00CE3A3E" w14:paraId="1B15EAA7" w14:textId="77777777">
            <w:pPr>
              <w:pStyle w:val="Pleading"/>
              <w:rPr>
                <w:rFonts w:eastAsia="Calibri" w:asciiTheme="majorBidi" w:hAnsiTheme="majorBidi" w:cstheme="majorBidi"/>
                <w:b/>
                <w:sz w:val="26"/>
                <w:szCs w:val="26"/>
              </w:rPr>
            </w:pPr>
          </w:p>
          <w:p w:rsidRPr="0048587E" w:rsidR="00CE3A3E" w:rsidP="00CE6449" w:rsidRDefault="00CE3A3E" w14:paraId="049E65A5" w14:textId="77777777">
            <w:pPr>
              <w:pStyle w:val="Pleading"/>
              <w:rPr>
                <w:rFonts w:eastAsia="Calibri" w:asciiTheme="majorBidi" w:hAnsiTheme="majorBidi" w:cstheme="majorBidi"/>
                <w:b/>
                <w:sz w:val="26"/>
                <w:szCs w:val="26"/>
              </w:rPr>
            </w:pPr>
          </w:p>
          <w:p w:rsidRPr="0048587E" w:rsidR="00CE3A3E" w:rsidP="00CE6449" w:rsidRDefault="00CE3A3E" w14:paraId="5F4C1C09" w14:textId="77777777">
            <w:pPr>
              <w:pStyle w:val="Pleading"/>
              <w:rPr>
                <w:rFonts w:eastAsia="Calibri" w:asciiTheme="majorBidi" w:hAnsiTheme="majorBidi" w:cstheme="majorBidi"/>
                <w:b/>
                <w:sz w:val="26"/>
                <w:szCs w:val="26"/>
              </w:rPr>
            </w:pPr>
          </w:p>
          <w:p w:rsidRPr="0048587E" w:rsidR="00CE3A3E" w:rsidP="00CE6449" w:rsidRDefault="00CE3A3E" w14:paraId="526EA4D3" w14:textId="6C324348">
            <w:pPr>
              <w:pStyle w:val="Pleading"/>
              <w:rPr>
                <w:rFonts w:eastAsia="Calibri" w:asciiTheme="majorBidi" w:hAnsiTheme="majorBidi" w:cstheme="majorBidi"/>
                <w:b/>
                <w:sz w:val="26"/>
                <w:szCs w:val="26"/>
              </w:rPr>
            </w:pPr>
            <w:r w:rsidRPr="0048587E">
              <w:rPr>
                <w:rFonts w:eastAsia="Calibri" w:asciiTheme="majorBidi" w:hAnsiTheme="majorBidi" w:cstheme="majorBidi"/>
                <w:b/>
                <w:sz w:val="26"/>
                <w:szCs w:val="26"/>
              </w:rPr>
              <w:t>PETITIONER’S REPLY TO</w:t>
            </w:r>
          </w:p>
          <w:p w:rsidRPr="0048587E" w:rsidR="00CE3A3E" w:rsidP="00CE6449" w:rsidRDefault="00CE3A3E" w14:paraId="1A0BE119" w14:textId="50411793">
            <w:pPr>
              <w:pStyle w:val="Pleading"/>
              <w:rPr>
                <w:rFonts w:eastAsia="Calibri" w:asciiTheme="majorBidi" w:hAnsiTheme="majorBidi" w:cstheme="majorBidi"/>
                <w:b/>
                <w:sz w:val="26"/>
                <w:szCs w:val="26"/>
              </w:rPr>
            </w:pPr>
            <w:r w:rsidRPr="0048587E">
              <w:rPr>
                <w:rFonts w:eastAsia="Calibri" w:asciiTheme="majorBidi" w:hAnsiTheme="majorBidi" w:cstheme="majorBidi"/>
                <w:b/>
                <w:sz w:val="26"/>
                <w:szCs w:val="26"/>
              </w:rPr>
              <w:t>RESPONDENTS’ RESPONSE TO HABEAS PETITION</w:t>
            </w:r>
          </w:p>
        </w:tc>
      </w:tr>
    </w:tbl>
    <w:p w:rsidRPr="0048587E" w:rsidR="00940D88" w:rsidP="00940D88" w:rsidRDefault="00940D88" w14:paraId="35BD823A" w14:textId="77777777">
      <w:pPr>
        <w:widowControl w:val="0"/>
        <w:jc w:val="center"/>
        <w:rPr>
          <w:rFonts w:asciiTheme="majorBidi" w:hAnsiTheme="majorBidi" w:cstheme="majorBidi"/>
          <w:sz w:val="26"/>
          <w:szCs w:val="26"/>
        </w:rPr>
      </w:pPr>
    </w:p>
    <w:p w:rsidRPr="0048587E" w:rsidR="00C85B58" w:rsidP="009843CA" w:rsidRDefault="009843CA" w14:paraId="46948C8E" w14:textId="5FDD9298">
      <w:pPr>
        <w:pStyle w:val="ListParagraph"/>
        <w:widowControl w:val="0"/>
        <w:spacing w:after="0" w:line="480" w:lineRule="auto"/>
        <w:ind w:left="0" w:firstLine="720"/>
        <w:rPr>
          <w:rFonts w:asciiTheme="majorBidi" w:hAnsiTheme="majorBidi" w:cstheme="majorBidi"/>
          <w:sz w:val="26"/>
          <w:szCs w:val="26"/>
        </w:rPr>
      </w:pPr>
      <w:r w:rsidRPr="0048587E">
        <w:rPr>
          <w:rFonts w:asciiTheme="majorBidi" w:hAnsiTheme="majorBidi" w:cstheme="majorBidi"/>
          <w:sz w:val="26"/>
          <w:szCs w:val="26"/>
        </w:rPr>
        <w:t xml:space="preserve">Petitioner </w:t>
      </w:r>
      <w:r w:rsidR="005A728C">
        <w:rPr>
          <w:rFonts w:asciiTheme="majorBidi" w:hAnsiTheme="majorBidi" w:cstheme="majorBidi"/>
          <w:sz w:val="26"/>
          <w:szCs w:val="26"/>
        </w:rPr>
        <w:t>NAME</w:t>
      </w:r>
      <w:r w:rsidRPr="0048587E">
        <w:rPr>
          <w:rFonts w:asciiTheme="majorBidi" w:hAnsiTheme="majorBidi" w:cstheme="majorBidi"/>
          <w:sz w:val="26"/>
          <w:szCs w:val="26"/>
        </w:rPr>
        <w:t xml:space="preserve"> hereby submits this Reply Brief in response to Respondents’ Response [Docket No. </w:t>
      </w:r>
      <w:r w:rsidRPr="0048587E" w:rsidR="00CE3A3E">
        <w:rPr>
          <w:rFonts w:asciiTheme="majorBidi" w:hAnsiTheme="majorBidi" w:cstheme="majorBidi"/>
          <w:sz w:val="26"/>
          <w:szCs w:val="26"/>
        </w:rPr>
        <w:t>8</w:t>
      </w:r>
      <w:r w:rsidRPr="0048587E">
        <w:rPr>
          <w:rFonts w:asciiTheme="majorBidi" w:hAnsiTheme="majorBidi" w:cstheme="majorBidi"/>
          <w:sz w:val="26"/>
          <w:szCs w:val="26"/>
        </w:rPr>
        <w:t>].  Petitioner has now been detained for over 1</w:t>
      </w:r>
      <w:r w:rsidRPr="0048587E" w:rsidR="00420EFC">
        <w:rPr>
          <w:rFonts w:asciiTheme="majorBidi" w:hAnsiTheme="majorBidi" w:cstheme="majorBidi"/>
          <w:sz w:val="26"/>
          <w:szCs w:val="26"/>
        </w:rPr>
        <w:t>7</w:t>
      </w:r>
      <w:r w:rsidRPr="0048587E">
        <w:rPr>
          <w:rFonts w:asciiTheme="majorBidi" w:hAnsiTheme="majorBidi" w:cstheme="majorBidi"/>
          <w:sz w:val="26"/>
          <w:szCs w:val="26"/>
        </w:rPr>
        <w:t xml:space="preserve"> months as his removal proceedings progress, </w:t>
      </w:r>
      <w:r w:rsidRPr="0048587E" w:rsidR="00420EFC">
        <w:rPr>
          <w:rFonts w:asciiTheme="majorBidi" w:hAnsiTheme="majorBidi" w:cstheme="majorBidi"/>
          <w:sz w:val="26"/>
          <w:szCs w:val="26"/>
        </w:rPr>
        <w:t>after twice being granted relief from removal</w:t>
      </w:r>
      <w:r w:rsidRPr="0048587E">
        <w:rPr>
          <w:rFonts w:asciiTheme="majorBidi" w:hAnsiTheme="majorBidi" w:cstheme="majorBidi"/>
          <w:sz w:val="26"/>
          <w:szCs w:val="26"/>
        </w:rPr>
        <w:t>.</w:t>
      </w:r>
      <w:r w:rsidRPr="0048587E" w:rsidR="00420EFC">
        <w:rPr>
          <w:rFonts w:asciiTheme="majorBidi" w:hAnsiTheme="majorBidi" w:cstheme="majorBidi"/>
          <w:sz w:val="26"/>
          <w:szCs w:val="26"/>
        </w:rPr>
        <w:t xml:space="preserve">  Petitioner continues to be detained despite having been granted withholding of removal on September 28, 2018, while DHS pursues an appeal [Docket No. 9-1, Exhibits 14 and 15].</w:t>
      </w:r>
      <w:r w:rsidRPr="0048587E">
        <w:rPr>
          <w:rFonts w:asciiTheme="majorBidi" w:hAnsiTheme="majorBidi" w:cstheme="majorBidi"/>
          <w:sz w:val="26"/>
          <w:szCs w:val="26"/>
        </w:rPr>
        <w:t xml:space="preserve">  </w:t>
      </w:r>
      <w:r w:rsidRPr="0048587E" w:rsidR="00420EFC">
        <w:rPr>
          <w:rFonts w:asciiTheme="majorBidi" w:hAnsiTheme="majorBidi" w:cstheme="majorBidi"/>
          <w:sz w:val="26"/>
          <w:szCs w:val="26"/>
        </w:rPr>
        <w:t>Petitioner has not received a bond hearing before an Immigration Judge.  Petitioner’s detention has been, and continues to be, unconstitutionally prolonged and unreasonable, as the purposes for civil detention are not met where he has been granted relief from removal.  There is no definite endpoint to Petitioner’s detention that Respondents can point to, only the putative “end of proceedings,” which could be in one month from now, one year from now, or even longer [Docket No. 8 at 3].</w:t>
      </w:r>
    </w:p>
    <w:p w:rsidRPr="0048587E" w:rsidR="00213E02" w:rsidP="00621374" w:rsidRDefault="00213E02" w14:paraId="337FD74D" w14:textId="67DAAE79">
      <w:pPr>
        <w:widowControl w:val="0"/>
        <w:spacing w:after="0" w:line="480" w:lineRule="auto"/>
        <w:jc w:val="center"/>
        <w:rPr>
          <w:rFonts w:asciiTheme="majorBidi" w:hAnsiTheme="majorBidi" w:cstheme="majorBidi"/>
          <w:b/>
          <w:sz w:val="26"/>
          <w:szCs w:val="26"/>
          <w:u w:val="single"/>
        </w:rPr>
      </w:pPr>
      <w:r w:rsidRPr="0048587E">
        <w:rPr>
          <w:rFonts w:asciiTheme="majorBidi" w:hAnsiTheme="majorBidi" w:cstheme="majorBidi"/>
          <w:b/>
          <w:sz w:val="26"/>
          <w:szCs w:val="26"/>
          <w:u w:val="single"/>
        </w:rPr>
        <w:t>FACTUAL AND PROCEDURAL BACKGROUND</w:t>
      </w:r>
    </w:p>
    <w:p w:rsidRPr="0048587E" w:rsidR="00420EFC" w:rsidP="00420EFC" w:rsidRDefault="00420EFC" w14:paraId="5C118F46" w14:textId="4D8784AF">
      <w:pPr>
        <w:widowControl w:val="0"/>
        <w:tabs>
          <w:tab w:val="left" w:pos="5040"/>
        </w:tabs>
        <w:spacing w:after="0" w:line="480" w:lineRule="auto"/>
        <w:ind w:firstLine="720"/>
        <w:rPr>
          <w:rFonts w:asciiTheme="majorBidi" w:hAnsiTheme="majorBidi" w:cstheme="majorBidi"/>
          <w:bCs/>
          <w:sz w:val="26"/>
          <w:szCs w:val="26"/>
        </w:rPr>
      </w:pPr>
      <w:bookmarkStart w:name="_Hlk498358564" w:id="2"/>
      <w:r w:rsidRPr="0048587E">
        <w:rPr>
          <w:rFonts w:asciiTheme="majorBidi" w:hAnsiTheme="majorBidi" w:cstheme="majorBidi"/>
          <w:bCs/>
          <w:sz w:val="26"/>
          <w:szCs w:val="26"/>
        </w:rPr>
        <w:t xml:space="preserve">Petitioner entered the United States on June 26, 1999, as a refugee.  Docket No. 9 </w:t>
      </w:r>
      <w:r w:rsidRPr="0048587E">
        <w:rPr>
          <w:rFonts w:asciiTheme="majorBidi" w:hAnsiTheme="majorBidi" w:cstheme="majorBidi"/>
          <w:bCs/>
          <w:sz w:val="26"/>
          <w:szCs w:val="26"/>
        </w:rPr>
        <w:lastRenderedPageBreak/>
        <w:t xml:space="preserve">at ¶ 4.  He later adjusted his status to that of a lawful permanent resident retroactive to that date.  </w:t>
      </w:r>
      <w:r w:rsidRPr="0048587E">
        <w:rPr>
          <w:rFonts w:asciiTheme="majorBidi" w:hAnsiTheme="majorBidi" w:cstheme="majorBidi"/>
          <w:bCs/>
          <w:i/>
          <w:iCs/>
          <w:sz w:val="26"/>
          <w:szCs w:val="26"/>
        </w:rPr>
        <w:t>Id.</w:t>
      </w:r>
      <w:r w:rsidRPr="0048587E">
        <w:rPr>
          <w:rFonts w:asciiTheme="majorBidi" w:hAnsiTheme="majorBidi" w:cstheme="majorBidi"/>
          <w:bCs/>
          <w:sz w:val="26"/>
          <w:szCs w:val="26"/>
        </w:rPr>
        <w:t xml:space="preserve">  </w:t>
      </w:r>
      <w:r w:rsidRPr="0048587E" w:rsidR="0059619E">
        <w:rPr>
          <w:rFonts w:asciiTheme="majorBidi" w:hAnsiTheme="majorBidi" w:cstheme="majorBidi"/>
          <w:bCs/>
          <w:sz w:val="26"/>
          <w:szCs w:val="26"/>
        </w:rPr>
        <w:t>Respondents cite Petitioner’s “long criminal history” [Docket No. 8 at 4] and “frequent negative interactions with law enforcement” [Docket No. 9 at ¶ 5], but the only criminal charges for which he has been convicted are possession of a controlled substance (“</w:t>
      </w:r>
      <w:proofErr w:type="spellStart"/>
      <w:r w:rsidRPr="0048587E" w:rsidR="0059619E">
        <w:rPr>
          <w:rFonts w:asciiTheme="majorBidi" w:hAnsiTheme="majorBidi" w:cstheme="majorBidi"/>
          <w:bCs/>
          <w:sz w:val="26"/>
          <w:szCs w:val="26"/>
        </w:rPr>
        <w:t>Khat</w:t>
      </w:r>
      <w:proofErr w:type="spellEnd"/>
      <w:r w:rsidRPr="0048587E" w:rsidR="0059619E">
        <w:rPr>
          <w:rFonts w:asciiTheme="majorBidi" w:hAnsiTheme="majorBidi" w:cstheme="majorBidi"/>
          <w:bCs/>
          <w:sz w:val="26"/>
          <w:szCs w:val="26"/>
        </w:rPr>
        <w:t>”) [</w:t>
      </w:r>
      <w:r w:rsidRPr="0048587E" w:rsidR="0059619E">
        <w:rPr>
          <w:rFonts w:asciiTheme="majorBidi" w:hAnsiTheme="majorBidi" w:cstheme="majorBidi"/>
          <w:bCs/>
          <w:i/>
          <w:iCs/>
          <w:sz w:val="26"/>
          <w:szCs w:val="26"/>
        </w:rPr>
        <w:t>Id.</w:t>
      </w:r>
      <w:r w:rsidRPr="0048587E" w:rsidR="0059619E">
        <w:rPr>
          <w:rFonts w:asciiTheme="majorBidi" w:hAnsiTheme="majorBidi" w:cstheme="majorBidi"/>
          <w:bCs/>
          <w:sz w:val="26"/>
          <w:szCs w:val="26"/>
        </w:rPr>
        <w:t xml:space="preserve"> at ¶ 9] and “Fraud-Employment of Runners” [</w:t>
      </w:r>
      <w:r w:rsidRPr="0048587E" w:rsidR="0059619E">
        <w:rPr>
          <w:rFonts w:asciiTheme="majorBidi" w:hAnsiTheme="majorBidi" w:cstheme="majorBidi"/>
          <w:bCs/>
          <w:i/>
          <w:iCs/>
          <w:sz w:val="26"/>
          <w:szCs w:val="26"/>
        </w:rPr>
        <w:t>Id.</w:t>
      </w:r>
      <w:r w:rsidRPr="0048587E" w:rsidR="0059619E">
        <w:rPr>
          <w:rFonts w:asciiTheme="majorBidi" w:hAnsiTheme="majorBidi" w:cstheme="majorBidi"/>
          <w:bCs/>
          <w:sz w:val="26"/>
          <w:szCs w:val="26"/>
        </w:rPr>
        <w:t xml:space="preserve"> at ¶ 13].  The remainder of the alleged arrests and offenses either were dismissed or resulted in petty traffic citations or violations, and nevertheless have no relevance for immigration purposes.  </w:t>
      </w:r>
      <w:r w:rsidRPr="0048587E" w:rsidR="0059619E">
        <w:rPr>
          <w:rFonts w:asciiTheme="majorBidi" w:hAnsiTheme="majorBidi" w:cstheme="majorBidi"/>
          <w:bCs/>
          <w:i/>
          <w:iCs/>
          <w:sz w:val="26"/>
          <w:szCs w:val="26"/>
        </w:rPr>
        <w:t>Id.</w:t>
      </w:r>
      <w:r w:rsidRPr="0048587E" w:rsidR="0059619E">
        <w:rPr>
          <w:rFonts w:asciiTheme="majorBidi" w:hAnsiTheme="majorBidi" w:cstheme="majorBidi"/>
          <w:bCs/>
          <w:sz w:val="26"/>
          <w:szCs w:val="26"/>
        </w:rPr>
        <w:t xml:space="preserve"> at ¶¶ 6–14.  Petitioner was ordered removed to Somalia </w:t>
      </w:r>
      <w:r w:rsidRPr="0048587E" w:rsidR="0059619E">
        <w:rPr>
          <w:rFonts w:asciiTheme="majorBidi" w:hAnsiTheme="majorBidi" w:cstheme="majorBidi"/>
          <w:bCs/>
          <w:i/>
          <w:iCs/>
          <w:sz w:val="26"/>
          <w:szCs w:val="26"/>
        </w:rPr>
        <w:t>in absentia</w:t>
      </w:r>
      <w:r w:rsidRPr="0048587E" w:rsidR="0059619E">
        <w:rPr>
          <w:rFonts w:asciiTheme="majorBidi" w:hAnsiTheme="majorBidi" w:cstheme="majorBidi"/>
          <w:bCs/>
          <w:sz w:val="26"/>
          <w:szCs w:val="26"/>
        </w:rPr>
        <w:t xml:space="preserve"> on January 10, 2012, based on his conviction for a controlled substance offense, but successfully reopened his immigration case on July 25, 2016.  </w:t>
      </w:r>
      <w:r w:rsidRPr="0048587E" w:rsidR="0059619E">
        <w:rPr>
          <w:rFonts w:asciiTheme="majorBidi" w:hAnsiTheme="majorBidi" w:cstheme="majorBidi"/>
          <w:bCs/>
          <w:i/>
          <w:iCs/>
          <w:sz w:val="26"/>
          <w:szCs w:val="26"/>
        </w:rPr>
        <w:t>Id.</w:t>
      </w:r>
      <w:r w:rsidRPr="0048587E" w:rsidR="0059619E">
        <w:rPr>
          <w:rFonts w:asciiTheme="majorBidi" w:hAnsiTheme="majorBidi" w:cstheme="majorBidi"/>
          <w:bCs/>
          <w:sz w:val="26"/>
          <w:szCs w:val="26"/>
        </w:rPr>
        <w:t xml:space="preserve"> at ¶¶ 16–17.  DHS filed new charges of removability on June 14, 2017, alleging a conviction for an aggravated felony, which were rejected by the Immigration Judge on December 18, 2017.  </w:t>
      </w:r>
      <w:r w:rsidRPr="0048587E" w:rsidR="0059619E">
        <w:rPr>
          <w:rFonts w:asciiTheme="majorBidi" w:hAnsiTheme="majorBidi" w:cstheme="majorBidi"/>
          <w:bCs/>
          <w:i/>
          <w:iCs/>
          <w:sz w:val="26"/>
          <w:szCs w:val="26"/>
        </w:rPr>
        <w:t>Id.</w:t>
      </w:r>
      <w:r w:rsidRPr="0048587E" w:rsidR="0059619E">
        <w:rPr>
          <w:rFonts w:asciiTheme="majorBidi" w:hAnsiTheme="majorBidi" w:cstheme="majorBidi"/>
          <w:bCs/>
          <w:sz w:val="26"/>
          <w:szCs w:val="26"/>
        </w:rPr>
        <w:t xml:space="preserve"> at ¶¶ 18–19.  The Immigration Judge granted Petitioner’s applications for cancellation of removal, asylum, and withholding of removal on December 18, 2017.  </w:t>
      </w:r>
      <w:r w:rsidRPr="0048587E" w:rsidR="0059619E">
        <w:rPr>
          <w:rFonts w:asciiTheme="majorBidi" w:hAnsiTheme="majorBidi" w:cstheme="majorBidi"/>
          <w:bCs/>
          <w:i/>
          <w:iCs/>
          <w:sz w:val="26"/>
          <w:szCs w:val="26"/>
        </w:rPr>
        <w:t>Id.</w:t>
      </w:r>
      <w:r w:rsidRPr="0048587E" w:rsidR="0059619E">
        <w:rPr>
          <w:rFonts w:asciiTheme="majorBidi" w:hAnsiTheme="majorBidi" w:cstheme="majorBidi"/>
          <w:bCs/>
          <w:sz w:val="26"/>
          <w:szCs w:val="26"/>
        </w:rPr>
        <w:t xml:space="preserve"> at ¶ 22.  </w:t>
      </w:r>
    </w:p>
    <w:p w:rsidRPr="0048587E" w:rsidR="0059619E" w:rsidP="00420EFC" w:rsidRDefault="0059619E" w14:paraId="62FA1725" w14:textId="2175C1EA">
      <w:pPr>
        <w:widowControl w:val="0"/>
        <w:tabs>
          <w:tab w:val="left" w:pos="5040"/>
        </w:tabs>
        <w:spacing w:after="0" w:line="480" w:lineRule="auto"/>
        <w:ind w:firstLine="720"/>
        <w:rPr>
          <w:rFonts w:asciiTheme="majorBidi" w:hAnsiTheme="majorBidi" w:cstheme="majorBidi"/>
          <w:bCs/>
          <w:sz w:val="26"/>
          <w:szCs w:val="26"/>
        </w:rPr>
      </w:pPr>
      <w:r w:rsidRPr="0048587E">
        <w:rPr>
          <w:rFonts w:asciiTheme="majorBidi" w:hAnsiTheme="majorBidi" w:cstheme="majorBidi"/>
          <w:bCs/>
          <w:sz w:val="26"/>
          <w:szCs w:val="26"/>
        </w:rPr>
        <w:t xml:space="preserve">DHS appealed the grants of relief to the Board of Immigration Appeals.  </w:t>
      </w:r>
      <w:r w:rsidRPr="0048587E">
        <w:rPr>
          <w:rFonts w:asciiTheme="majorBidi" w:hAnsiTheme="majorBidi" w:cstheme="majorBidi"/>
          <w:bCs/>
          <w:i/>
          <w:iCs/>
          <w:sz w:val="26"/>
          <w:szCs w:val="26"/>
        </w:rPr>
        <w:t>Id.</w:t>
      </w:r>
      <w:r w:rsidRPr="0048587E">
        <w:rPr>
          <w:rFonts w:asciiTheme="majorBidi" w:hAnsiTheme="majorBidi" w:cstheme="majorBidi"/>
          <w:bCs/>
          <w:sz w:val="26"/>
          <w:szCs w:val="26"/>
        </w:rPr>
        <w:t xml:space="preserve"> at ¶ 23.  On May 31, 2018, five months after the IJ’s decision, the BIA vacated the IJ’s discretionary grant of cancellation of removal, preferring DHS’s weighing of equities over the IJ’s.  </w:t>
      </w:r>
      <w:r w:rsidRPr="0048587E" w:rsidR="0027083B">
        <w:rPr>
          <w:rFonts w:asciiTheme="majorBidi" w:hAnsiTheme="majorBidi" w:cstheme="majorBidi"/>
          <w:bCs/>
          <w:i/>
          <w:iCs/>
          <w:sz w:val="26"/>
          <w:szCs w:val="26"/>
        </w:rPr>
        <w:t>Id.</w:t>
      </w:r>
      <w:r w:rsidRPr="0048587E" w:rsidR="0027083B">
        <w:rPr>
          <w:rFonts w:asciiTheme="majorBidi" w:hAnsiTheme="majorBidi" w:cstheme="majorBidi"/>
          <w:bCs/>
          <w:sz w:val="26"/>
          <w:szCs w:val="26"/>
        </w:rPr>
        <w:t xml:space="preserve"> at ¶ 24; Docket No. 9-1 at 8.  The BIA also vacated and remanded the grants of asylum and withholding.  Docket No. 9 at ¶ 24.</w:t>
      </w:r>
    </w:p>
    <w:p w:rsidRPr="0048587E" w:rsidR="0027083B" w:rsidP="00420EFC" w:rsidRDefault="0027083B" w14:paraId="3D9D0380" w14:textId="1E6DE607">
      <w:pPr>
        <w:widowControl w:val="0"/>
        <w:tabs>
          <w:tab w:val="left" w:pos="5040"/>
        </w:tabs>
        <w:spacing w:after="0" w:line="480" w:lineRule="auto"/>
        <w:ind w:firstLine="720"/>
        <w:rPr>
          <w:rFonts w:asciiTheme="majorBidi" w:hAnsiTheme="majorBidi" w:cstheme="majorBidi"/>
          <w:bCs/>
          <w:sz w:val="26"/>
          <w:szCs w:val="26"/>
        </w:rPr>
      </w:pPr>
      <w:r w:rsidRPr="0048587E">
        <w:rPr>
          <w:rFonts w:asciiTheme="majorBidi" w:hAnsiTheme="majorBidi" w:cstheme="majorBidi"/>
          <w:bCs/>
          <w:sz w:val="26"/>
          <w:szCs w:val="26"/>
        </w:rPr>
        <w:t xml:space="preserve">On remand, the IJ again granted Petitioner’s application for withholding of removal on September 28, 2018, after indicating that she would grant relief on August </w:t>
      </w:r>
      <w:r w:rsidRPr="0048587E">
        <w:rPr>
          <w:rFonts w:asciiTheme="majorBidi" w:hAnsiTheme="majorBidi" w:cstheme="majorBidi"/>
          <w:bCs/>
          <w:sz w:val="26"/>
          <w:szCs w:val="26"/>
        </w:rPr>
        <w:lastRenderedPageBreak/>
        <w:t>23, 2018.</w:t>
      </w:r>
      <w:r w:rsidRPr="0048587E">
        <w:rPr>
          <w:rStyle w:val="FootnoteReference"/>
          <w:rFonts w:asciiTheme="majorBidi" w:hAnsiTheme="majorBidi" w:cstheme="majorBidi"/>
          <w:bCs/>
          <w:sz w:val="26"/>
          <w:szCs w:val="26"/>
        </w:rPr>
        <w:footnoteReference w:id="2"/>
      </w:r>
      <w:r w:rsidRPr="0048587E">
        <w:rPr>
          <w:rFonts w:asciiTheme="majorBidi" w:hAnsiTheme="majorBidi" w:cstheme="majorBidi"/>
          <w:bCs/>
          <w:sz w:val="26"/>
          <w:szCs w:val="26"/>
        </w:rPr>
        <w:t xml:space="preserve">  </w:t>
      </w:r>
      <w:r w:rsidRPr="0048587E">
        <w:rPr>
          <w:rFonts w:asciiTheme="majorBidi" w:hAnsiTheme="majorBidi" w:cstheme="majorBidi"/>
          <w:bCs/>
          <w:i/>
          <w:iCs/>
          <w:sz w:val="26"/>
          <w:szCs w:val="26"/>
        </w:rPr>
        <w:t>Id.</w:t>
      </w:r>
      <w:r w:rsidRPr="0048587E">
        <w:rPr>
          <w:rFonts w:asciiTheme="majorBidi" w:hAnsiTheme="majorBidi" w:cstheme="majorBidi"/>
          <w:bCs/>
          <w:sz w:val="26"/>
          <w:szCs w:val="26"/>
        </w:rPr>
        <w:t xml:space="preserve"> at ¶ 25.  DHS again appealed the grant of relief to the BIA.  That appeal is still pending before the BIA.</w:t>
      </w:r>
    </w:p>
    <w:p w:rsidRPr="0048587E" w:rsidR="00420EFC" w:rsidP="00420EFC" w:rsidRDefault="0027083B" w14:paraId="62C85BC8" w14:textId="7C373FAA">
      <w:pPr>
        <w:widowControl w:val="0"/>
        <w:tabs>
          <w:tab w:val="left" w:pos="5040"/>
        </w:tabs>
        <w:spacing w:after="0" w:line="480" w:lineRule="auto"/>
        <w:ind w:firstLine="720"/>
        <w:rPr>
          <w:rFonts w:asciiTheme="majorBidi" w:hAnsiTheme="majorBidi" w:cstheme="majorBidi"/>
          <w:bCs/>
          <w:sz w:val="26"/>
          <w:szCs w:val="26"/>
        </w:rPr>
      </w:pPr>
      <w:r w:rsidRPr="0048587E">
        <w:rPr>
          <w:rFonts w:asciiTheme="majorBidi" w:hAnsiTheme="majorBidi" w:cstheme="majorBidi"/>
          <w:bCs/>
          <w:sz w:val="26"/>
          <w:szCs w:val="26"/>
        </w:rPr>
        <w:t xml:space="preserve">Petitioner </w:t>
      </w:r>
      <w:r w:rsidRPr="0048587E" w:rsidR="00420EFC">
        <w:rPr>
          <w:rFonts w:asciiTheme="majorBidi" w:hAnsiTheme="majorBidi" w:cstheme="majorBidi"/>
          <w:bCs/>
          <w:sz w:val="26"/>
          <w:szCs w:val="26"/>
        </w:rPr>
        <w:t>has been detained by Respondents since June 6, 2017.</w:t>
      </w:r>
      <w:r w:rsidRPr="0048587E">
        <w:rPr>
          <w:rFonts w:asciiTheme="majorBidi" w:hAnsiTheme="majorBidi" w:cstheme="majorBidi"/>
          <w:bCs/>
          <w:sz w:val="26"/>
          <w:szCs w:val="26"/>
        </w:rPr>
        <w:t xml:space="preserve">  Of the 535 days he has been detained, 220 days have been with a then-valid order granting relief in hand.  There is no set date for the BIA to issue its decision, but it took 164 days to issue its previous decision in Petitioner’s case; with that timeframe as a benchmark, Petitioner can expect a decision around March 11, 2019, in 108 days.  </w:t>
      </w:r>
      <w:proofErr w:type="gramStart"/>
      <w:r w:rsidRPr="0048587E">
        <w:rPr>
          <w:rFonts w:asciiTheme="majorBidi" w:hAnsiTheme="majorBidi" w:cstheme="majorBidi"/>
          <w:bCs/>
          <w:sz w:val="26"/>
          <w:szCs w:val="26"/>
        </w:rPr>
        <w:t>Assuming that</w:t>
      </w:r>
      <w:proofErr w:type="gramEnd"/>
      <w:r w:rsidRPr="0048587E">
        <w:rPr>
          <w:rFonts w:asciiTheme="majorBidi" w:hAnsiTheme="majorBidi" w:cstheme="majorBidi"/>
          <w:bCs/>
          <w:sz w:val="26"/>
          <w:szCs w:val="26"/>
        </w:rPr>
        <w:t xml:space="preserve"> conclusively ended his case, Petitioner would be detained for a total of 643 days, or 21 months.  But even if the BIA affirms the IJ’s decision, the case will likely be remanded to the Immigration Court for DHS to update background checks, further extending his time in detention</w:t>
      </w:r>
      <w:r w:rsidRPr="0048587E" w:rsidR="008B73F4">
        <w:rPr>
          <w:rFonts w:asciiTheme="majorBidi" w:hAnsiTheme="majorBidi" w:cstheme="majorBidi"/>
          <w:bCs/>
          <w:sz w:val="26"/>
          <w:szCs w:val="26"/>
        </w:rPr>
        <w:t>, and another adverse decision from the BIA could restart proceedings from the beginning, resulting in months more in detention.  If Petitioner’s grant of withholding is affirmed, Respondents could decide unilaterally to continue detaining him for months more under 8 C.F.R. § 241.4(b)(3).  In other words, there is no fixed end date in sight, and detention is likely to continue for months, if not longer.</w:t>
      </w:r>
    </w:p>
    <w:p w:rsidRPr="0048587E" w:rsidR="00621374" w:rsidP="009A7FDE" w:rsidRDefault="009A7FDE" w14:paraId="0D195AA3" w14:textId="0322A2B3">
      <w:pPr>
        <w:widowControl w:val="0"/>
        <w:tabs>
          <w:tab w:val="left" w:pos="5040"/>
        </w:tabs>
        <w:spacing w:after="0" w:line="480" w:lineRule="auto"/>
        <w:jc w:val="center"/>
        <w:rPr>
          <w:rFonts w:asciiTheme="majorBidi" w:hAnsiTheme="majorBidi" w:cstheme="majorBidi"/>
          <w:sz w:val="26"/>
          <w:szCs w:val="26"/>
        </w:rPr>
      </w:pPr>
      <w:r w:rsidRPr="0048587E">
        <w:rPr>
          <w:rFonts w:asciiTheme="majorBidi" w:hAnsiTheme="majorBidi" w:cstheme="majorBidi"/>
          <w:b/>
          <w:sz w:val="26"/>
          <w:szCs w:val="26"/>
          <w:u w:val="single"/>
        </w:rPr>
        <w:t>ARGUMENT</w:t>
      </w:r>
    </w:p>
    <w:p w:rsidRPr="0048587E" w:rsidR="001144C0" w:rsidP="002502A8" w:rsidRDefault="006C1F57" w14:paraId="09D79E19" w14:textId="6D58129C">
      <w:pPr>
        <w:widowControl w:val="0"/>
        <w:tabs>
          <w:tab w:val="left" w:pos="5040"/>
        </w:tabs>
        <w:spacing w:after="0" w:line="480" w:lineRule="auto"/>
        <w:ind w:firstLine="720"/>
        <w:rPr>
          <w:rFonts w:asciiTheme="majorBidi" w:hAnsiTheme="majorBidi" w:cstheme="majorBidi"/>
          <w:sz w:val="26"/>
          <w:szCs w:val="26"/>
        </w:rPr>
      </w:pPr>
      <w:r w:rsidRPr="0048587E">
        <w:rPr>
          <w:rFonts w:asciiTheme="majorBidi" w:hAnsiTheme="majorBidi" w:cstheme="majorBidi"/>
          <w:sz w:val="26"/>
          <w:szCs w:val="26"/>
        </w:rPr>
        <w:t xml:space="preserve">Respondents argue that detention under 8 U.S.C. § 1226(c)—the statute governing Petitioner’s detention—is constitutional.  In support of this argument, they cite a few </w:t>
      </w:r>
      <w:r w:rsidRPr="0048587E">
        <w:rPr>
          <w:rFonts w:asciiTheme="majorBidi" w:hAnsiTheme="majorBidi" w:cstheme="majorBidi"/>
          <w:sz w:val="26"/>
          <w:szCs w:val="26"/>
        </w:rPr>
        <w:lastRenderedPageBreak/>
        <w:t>outlier decisions from other districts and barely acknowledge the decisions of this Court.</w:t>
      </w:r>
      <w:r w:rsidRPr="0048587E" w:rsidR="003F28DA">
        <w:rPr>
          <w:rStyle w:val="FootnoteReference"/>
          <w:rFonts w:asciiTheme="majorBidi" w:hAnsiTheme="majorBidi" w:cstheme="majorBidi"/>
          <w:sz w:val="26"/>
          <w:szCs w:val="26"/>
        </w:rPr>
        <w:footnoteReference w:id="3"/>
      </w:r>
      <w:r w:rsidRPr="0048587E">
        <w:rPr>
          <w:rFonts w:asciiTheme="majorBidi" w:hAnsiTheme="majorBidi" w:cstheme="majorBidi"/>
          <w:sz w:val="26"/>
          <w:szCs w:val="26"/>
        </w:rPr>
        <w:t xml:space="preserve">  In </w:t>
      </w:r>
      <w:r w:rsidRPr="0048587E">
        <w:rPr>
          <w:rFonts w:asciiTheme="majorBidi" w:hAnsiTheme="majorBidi" w:cstheme="majorBidi"/>
          <w:i/>
          <w:iCs/>
          <w:sz w:val="26"/>
          <w:szCs w:val="26"/>
        </w:rPr>
        <w:t>Muse v. Sessions</w:t>
      </w:r>
      <w:r w:rsidRPr="0048587E">
        <w:rPr>
          <w:rFonts w:asciiTheme="majorBidi" w:hAnsiTheme="majorBidi" w:cstheme="majorBidi"/>
          <w:sz w:val="26"/>
          <w:szCs w:val="26"/>
        </w:rPr>
        <w:t xml:space="preserve">, Judge </w:t>
      </w:r>
      <w:proofErr w:type="spellStart"/>
      <w:r w:rsidRPr="0048587E">
        <w:rPr>
          <w:rFonts w:asciiTheme="majorBidi" w:hAnsiTheme="majorBidi" w:cstheme="majorBidi"/>
          <w:sz w:val="26"/>
          <w:szCs w:val="26"/>
        </w:rPr>
        <w:t>Schiltz</w:t>
      </w:r>
      <w:proofErr w:type="spellEnd"/>
      <w:r w:rsidRPr="0048587E">
        <w:rPr>
          <w:rFonts w:asciiTheme="majorBidi" w:hAnsiTheme="majorBidi" w:cstheme="majorBidi"/>
          <w:sz w:val="26"/>
          <w:szCs w:val="26"/>
        </w:rPr>
        <w:t xml:space="preserve"> recognized that § 1226(c) detention may become unconstitutionally prolonged or unreasonable.  No. 18-cv-0054-PJS-LIB, 2018 WL 4466052, at *3 (D. Minn. Sept. 18, 2018).  Judge </w:t>
      </w:r>
      <w:proofErr w:type="spellStart"/>
      <w:r w:rsidRPr="0048587E">
        <w:rPr>
          <w:rFonts w:asciiTheme="majorBidi" w:hAnsiTheme="majorBidi" w:cstheme="majorBidi"/>
          <w:sz w:val="26"/>
          <w:szCs w:val="26"/>
        </w:rPr>
        <w:t>Schiltz</w:t>
      </w:r>
      <w:proofErr w:type="spellEnd"/>
      <w:r w:rsidRPr="0048587E">
        <w:rPr>
          <w:rFonts w:asciiTheme="majorBidi" w:hAnsiTheme="majorBidi" w:cstheme="majorBidi"/>
          <w:sz w:val="26"/>
          <w:szCs w:val="26"/>
        </w:rPr>
        <w:t xml:space="preserve"> did not come to this conclusion alone; rather, he “follow[ed] the lead of virtually every court that has addressed the issue following </w:t>
      </w:r>
      <w:r w:rsidRPr="0048587E">
        <w:rPr>
          <w:rFonts w:asciiTheme="majorBidi" w:hAnsiTheme="majorBidi" w:cstheme="majorBidi"/>
          <w:i/>
          <w:iCs/>
          <w:sz w:val="26"/>
          <w:szCs w:val="26"/>
        </w:rPr>
        <w:t>Jennings</w:t>
      </w:r>
      <w:r w:rsidRPr="0048587E">
        <w:rPr>
          <w:rFonts w:asciiTheme="majorBidi" w:hAnsiTheme="majorBidi" w:cstheme="majorBidi"/>
          <w:sz w:val="26"/>
          <w:szCs w:val="26"/>
        </w:rPr>
        <w:t xml:space="preserve">—including two judges of this District.”  </w:t>
      </w:r>
      <w:r w:rsidRPr="0048587E">
        <w:rPr>
          <w:rFonts w:asciiTheme="majorBidi" w:hAnsiTheme="majorBidi" w:cstheme="majorBidi"/>
          <w:i/>
          <w:iCs/>
          <w:sz w:val="26"/>
          <w:szCs w:val="26"/>
        </w:rPr>
        <w:t>Id.</w:t>
      </w:r>
      <w:r w:rsidRPr="0048587E">
        <w:rPr>
          <w:rFonts w:asciiTheme="majorBidi" w:hAnsiTheme="majorBidi" w:cstheme="majorBidi"/>
          <w:sz w:val="26"/>
          <w:szCs w:val="26"/>
        </w:rPr>
        <w:t xml:space="preserve"> (citing </w:t>
      </w:r>
      <w:r w:rsidRPr="0048587E">
        <w:rPr>
          <w:rFonts w:asciiTheme="majorBidi" w:hAnsiTheme="majorBidi" w:cstheme="majorBidi"/>
          <w:i/>
          <w:iCs/>
          <w:sz w:val="26"/>
          <w:szCs w:val="26"/>
        </w:rPr>
        <w:t>Mohamed v. Sec’y, Dep’t of Homeland Sec.</w:t>
      </w:r>
      <w:r w:rsidRPr="0048587E">
        <w:rPr>
          <w:rFonts w:asciiTheme="majorBidi" w:hAnsiTheme="majorBidi" w:cstheme="majorBidi"/>
          <w:sz w:val="26"/>
          <w:szCs w:val="26"/>
        </w:rPr>
        <w:t xml:space="preserve">, No. 17-cv-5055-DWF-DTS, 2018 WL 2392205, at *5 (D. Minn. Mar. 26, 2018), </w:t>
      </w:r>
      <w:r w:rsidRPr="0048587E">
        <w:rPr>
          <w:rFonts w:asciiTheme="majorBidi" w:hAnsiTheme="majorBidi" w:cstheme="majorBidi"/>
          <w:i/>
          <w:iCs/>
          <w:sz w:val="26"/>
          <w:szCs w:val="26"/>
        </w:rPr>
        <w:t>Report and Recommendation adopted</w:t>
      </w:r>
      <w:r w:rsidRPr="0048587E">
        <w:rPr>
          <w:rFonts w:asciiTheme="majorBidi" w:hAnsiTheme="majorBidi" w:cstheme="majorBidi"/>
          <w:sz w:val="26"/>
          <w:szCs w:val="26"/>
        </w:rPr>
        <w:t xml:space="preserve">, 2018 WL 2390132 (D. Minn. May 25, 2018); </w:t>
      </w:r>
      <w:proofErr w:type="spellStart"/>
      <w:r w:rsidRPr="0048587E">
        <w:rPr>
          <w:rFonts w:asciiTheme="majorBidi" w:hAnsiTheme="majorBidi" w:cstheme="majorBidi"/>
          <w:i/>
          <w:iCs/>
          <w:sz w:val="26"/>
          <w:szCs w:val="26"/>
        </w:rPr>
        <w:t>Tindi</w:t>
      </w:r>
      <w:proofErr w:type="spellEnd"/>
      <w:r w:rsidRPr="0048587E">
        <w:rPr>
          <w:rFonts w:asciiTheme="majorBidi" w:hAnsiTheme="majorBidi" w:cstheme="majorBidi"/>
          <w:i/>
          <w:iCs/>
          <w:sz w:val="26"/>
          <w:szCs w:val="26"/>
        </w:rPr>
        <w:t xml:space="preserve"> v. Sec’y, Dep’t of Homeland Sec.</w:t>
      </w:r>
      <w:r w:rsidRPr="0048587E">
        <w:rPr>
          <w:rFonts w:asciiTheme="majorBidi" w:hAnsiTheme="majorBidi" w:cstheme="majorBidi"/>
          <w:sz w:val="26"/>
          <w:szCs w:val="26"/>
        </w:rPr>
        <w:t xml:space="preserve">, No. 17-CV-3663-DSD-DTS, 2018 WL 704314, at *3 (D. Minn. Feb. 5, 2018).  Indeed, despite other courts—including the circuit court decisions Respondents dismiss—relying on statutory avoidance to limit the length of detention under § 1226(c), this Court was one of few, if any, that has consistently approached the analysis squarely on constitutional due process </w:t>
      </w:r>
      <w:r w:rsidRPr="0048587E">
        <w:rPr>
          <w:rFonts w:asciiTheme="majorBidi" w:hAnsiTheme="majorBidi" w:cstheme="majorBidi"/>
          <w:sz w:val="26"/>
          <w:szCs w:val="26"/>
        </w:rPr>
        <w:lastRenderedPageBreak/>
        <w:t>terms</w:t>
      </w:r>
      <w:r w:rsidRPr="0048587E" w:rsidR="00C87F9E">
        <w:rPr>
          <w:rFonts w:asciiTheme="majorBidi" w:hAnsiTheme="majorBidi" w:cstheme="majorBidi"/>
          <w:sz w:val="26"/>
          <w:szCs w:val="26"/>
        </w:rPr>
        <w:t xml:space="preserve"> over the years</w:t>
      </w:r>
      <w:r w:rsidRPr="0048587E">
        <w:rPr>
          <w:rFonts w:asciiTheme="majorBidi" w:hAnsiTheme="majorBidi" w:cstheme="majorBidi"/>
          <w:sz w:val="26"/>
          <w:szCs w:val="26"/>
        </w:rPr>
        <w:t xml:space="preserve">.  </w:t>
      </w:r>
      <w:r w:rsidRPr="0048587E">
        <w:rPr>
          <w:rFonts w:asciiTheme="majorBidi" w:hAnsiTheme="majorBidi" w:cstheme="majorBidi"/>
          <w:i/>
          <w:iCs/>
          <w:sz w:val="26"/>
          <w:szCs w:val="26"/>
        </w:rPr>
        <w:t xml:space="preserve">See Bah v. </w:t>
      </w:r>
      <w:proofErr w:type="spellStart"/>
      <w:r w:rsidRPr="0048587E">
        <w:rPr>
          <w:rFonts w:asciiTheme="majorBidi" w:hAnsiTheme="majorBidi" w:cstheme="majorBidi"/>
          <w:i/>
          <w:iCs/>
          <w:sz w:val="26"/>
          <w:szCs w:val="26"/>
        </w:rPr>
        <w:t>Cangemi</w:t>
      </w:r>
      <w:proofErr w:type="spellEnd"/>
      <w:r w:rsidRPr="0048587E">
        <w:rPr>
          <w:rFonts w:asciiTheme="majorBidi" w:hAnsiTheme="majorBidi" w:cstheme="majorBidi"/>
          <w:sz w:val="26"/>
          <w:szCs w:val="26"/>
        </w:rPr>
        <w:t>, 489 F. Supp. 2d 905 (D. Minn. 2007);</w:t>
      </w:r>
      <w:r w:rsidRPr="0048587E">
        <w:rPr>
          <w:rFonts w:asciiTheme="majorBidi" w:hAnsiTheme="majorBidi" w:cstheme="majorBidi"/>
          <w:i/>
          <w:iCs/>
          <w:sz w:val="26"/>
          <w:szCs w:val="26"/>
        </w:rPr>
        <w:t xml:space="preserve"> </w:t>
      </w:r>
      <w:proofErr w:type="spellStart"/>
      <w:r w:rsidRPr="0048587E">
        <w:rPr>
          <w:rFonts w:asciiTheme="majorBidi" w:hAnsiTheme="majorBidi" w:cstheme="majorBidi"/>
          <w:i/>
          <w:iCs/>
          <w:sz w:val="26"/>
          <w:szCs w:val="26"/>
        </w:rPr>
        <w:t>Moallin</w:t>
      </w:r>
      <w:proofErr w:type="spellEnd"/>
      <w:r w:rsidRPr="0048587E">
        <w:rPr>
          <w:rFonts w:asciiTheme="majorBidi" w:hAnsiTheme="majorBidi" w:cstheme="majorBidi"/>
          <w:i/>
          <w:iCs/>
          <w:sz w:val="26"/>
          <w:szCs w:val="26"/>
        </w:rPr>
        <w:t xml:space="preserve"> v. </w:t>
      </w:r>
      <w:proofErr w:type="spellStart"/>
      <w:r w:rsidRPr="0048587E">
        <w:rPr>
          <w:rFonts w:asciiTheme="majorBidi" w:hAnsiTheme="majorBidi" w:cstheme="majorBidi"/>
          <w:i/>
          <w:iCs/>
          <w:sz w:val="26"/>
          <w:szCs w:val="26"/>
        </w:rPr>
        <w:t>Cangemi</w:t>
      </w:r>
      <w:proofErr w:type="spellEnd"/>
      <w:r w:rsidRPr="0048587E">
        <w:rPr>
          <w:rFonts w:asciiTheme="majorBidi" w:hAnsiTheme="majorBidi" w:cstheme="majorBidi"/>
          <w:sz w:val="26"/>
          <w:szCs w:val="26"/>
        </w:rPr>
        <w:t xml:space="preserve">, 427 F. Supp. 2d 908 (D. Minn. 2006).  </w:t>
      </w:r>
    </w:p>
    <w:p w:rsidRPr="0048587E" w:rsidR="00C87F9E" w:rsidP="002502A8" w:rsidRDefault="00C87F9E" w14:paraId="3FD45170" w14:textId="65530E9B">
      <w:pPr>
        <w:widowControl w:val="0"/>
        <w:tabs>
          <w:tab w:val="left" w:pos="5040"/>
        </w:tabs>
        <w:spacing w:after="0" w:line="480" w:lineRule="auto"/>
        <w:ind w:firstLine="720"/>
        <w:rPr>
          <w:rFonts w:asciiTheme="majorBidi" w:hAnsiTheme="majorBidi" w:cstheme="majorBidi"/>
          <w:sz w:val="26"/>
          <w:szCs w:val="26"/>
        </w:rPr>
      </w:pPr>
      <w:r w:rsidRPr="0048587E">
        <w:rPr>
          <w:rFonts w:asciiTheme="majorBidi" w:hAnsiTheme="majorBidi" w:cstheme="majorBidi"/>
          <w:sz w:val="26"/>
          <w:szCs w:val="26"/>
        </w:rPr>
        <w:t xml:space="preserve">In </w:t>
      </w:r>
      <w:r w:rsidRPr="0048587E">
        <w:rPr>
          <w:rFonts w:asciiTheme="majorBidi" w:hAnsiTheme="majorBidi" w:cstheme="majorBidi"/>
          <w:i/>
          <w:iCs/>
          <w:sz w:val="26"/>
          <w:szCs w:val="26"/>
        </w:rPr>
        <w:t>Muse</w:t>
      </w:r>
      <w:r w:rsidRPr="0048587E">
        <w:rPr>
          <w:rFonts w:asciiTheme="majorBidi" w:hAnsiTheme="majorBidi" w:cstheme="majorBidi"/>
          <w:sz w:val="26"/>
          <w:szCs w:val="26"/>
        </w:rPr>
        <w:t xml:space="preserve">, Judge </w:t>
      </w:r>
      <w:proofErr w:type="spellStart"/>
      <w:r w:rsidRPr="0048587E">
        <w:rPr>
          <w:rFonts w:asciiTheme="majorBidi" w:hAnsiTheme="majorBidi" w:cstheme="majorBidi"/>
          <w:sz w:val="26"/>
          <w:szCs w:val="26"/>
        </w:rPr>
        <w:t>Schiltz</w:t>
      </w:r>
      <w:proofErr w:type="spellEnd"/>
      <w:r w:rsidRPr="0048587E">
        <w:rPr>
          <w:rFonts w:asciiTheme="majorBidi" w:hAnsiTheme="majorBidi" w:cstheme="majorBidi"/>
          <w:sz w:val="26"/>
          <w:szCs w:val="26"/>
        </w:rPr>
        <w:t xml:space="preserve"> found the reasonableness analysis of </w:t>
      </w:r>
      <w:r w:rsidRPr="0048587E">
        <w:rPr>
          <w:rFonts w:asciiTheme="majorBidi" w:hAnsiTheme="majorBidi" w:cstheme="majorBidi"/>
          <w:i/>
          <w:iCs/>
          <w:sz w:val="26"/>
          <w:szCs w:val="26"/>
        </w:rPr>
        <w:t xml:space="preserve">Reid v. </w:t>
      </w:r>
      <w:proofErr w:type="spellStart"/>
      <w:r w:rsidRPr="0048587E">
        <w:rPr>
          <w:rFonts w:asciiTheme="majorBidi" w:hAnsiTheme="majorBidi" w:cstheme="majorBidi"/>
          <w:i/>
          <w:iCs/>
          <w:sz w:val="26"/>
          <w:szCs w:val="26"/>
        </w:rPr>
        <w:t>Donelan</w:t>
      </w:r>
      <w:proofErr w:type="spellEnd"/>
      <w:r w:rsidRPr="0048587E">
        <w:rPr>
          <w:rFonts w:asciiTheme="majorBidi" w:hAnsiTheme="majorBidi" w:cstheme="majorBidi"/>
          <w:sz w:val="26"/>
          <w:szCs w:val="26"/>
        </w:rPr>
        <w:t xml:space="preserve">, 819 F.3d 486 (1st Cir. 2016), </w:t>
      </w:r>
      <w:r w:rsidRPr="0048587E">
        <w:rPr>
          <w:rFonts w:asciiTheme="majorBidi" w:hAnsiTheme="majorBidi" w:cstheme="majorBidi"/>
          <w:i/>
          <w:iCs/>
          <w:sz w:val="26"/>
          <w:szCs w:val="26"/>
        </w:rPr>
        <w:t>withdrawn</w:t>
      </w:r>
      <w:r w:rsidRPr="0048587E">
        <w:rPr>
          <w:rFonts w:asciiTheme="majorBidi" w:hAnsiTheme="majorBidi" w:cstheme="majorBidi"/>
          <w:sz w:val="26"/>
          <w:szCs w:val="26"/>
        </w:rPr>
        <w:t xml:space="preserve">, No. 14-1270, 2018 WL 4000993 (1st Cir. May 11, 2018), to be the most consistent with due process, and Petitioner does not disagree.  Judge </w:t>
      </w:r>
      <w:proofErr w:type="spellStart"/>
      <w:r w:rsidRPr="0048587E">
        <w:rPr>
          <w:rFonts w:asciiTheme="majorBidi" w:hAnsiTheme="majorBidi" w:cstheme="majorBidi"/>
          <w:sz w:val="26"/>
          <w:szCs w:val="26"/>
        </w:rPr>
        <w:t>Schiltz’s</w:t>
      </w:r>
      <w:proofErr w:type="spellEnd"/>
      <w:r w:rsidRPr="0048587E">
        <w:rPr>
          <w:rFonts w:asciiTheme="majorBidi" w:hAnsiTheme="majorBidi" w:cstheme="majorBidi"/>
          <w:sz w:val="26"/>
          <w:szCs w:val="26"/>
        </w:rPr>
        <w:t xml:space="preserve"> framework thus included the following factors: “(1) the total length of detention to date; (2) the likely duration of future detention; (3) the conditions of detention; (4) delays of the removal proceedings caused by the detainee; (5) delays of the removal proceedings caused by the government; and (6) the likelihood that the removal proceedings will result in a final order of removal.”  </w:t>
      </w:r>
      <w:r w:rsidRPr="0048587E">
        <w:rPr>
          <w:rFonts w:asciiTheme="majorBidi" w:hAnsiTheme="majorBidi" w:cstheme="majorBidi"/>
          <w:i/>
          <w:iCs/>
          <w:sz w:val="26"/>
          <w:szCs w:val="26"/>
        </w:rPr>
        <w:t>Muse</w:t>
      </w:r>
      <w:r w:rsidRPr="0048587E">
        <w:rPr>
          <w:rFonts w:asciiTheme="majorBidi" w:hAnsiTheme="majorBidi" w:cstheme="majorBidi"/>
          <w:sz w:val="26"/>
          <w:szCs w:val="26"/>
        </w:rPr>
        <w:t>, 2018 WL 4466052, at *3.</w:t>
      </w:r>
    </w:p>
    <w:p w:rsidRPr="0048587E" w:rsidR="00264180" w:rsidP="002502A8" w:rsidRDefault="001144C0" w14:paraId="55861DA6" w14:textId="3232EC8F">
      <w:pPr>
        <w:widowControl w:val="0"/>
        <w:tabs>
          <w:tab w:val="left" w:pos="5040"/>
        </w:tabs>
        <w:spacing w:after="0" w:line="480" w:lineRule="auto"/>
        <w:ind w:firstLine="720"/>
        <w:rPr>
          <w:rFonts w:asciiTheme="majorBidi" w:hAnsiTheme="majorBidi" w:cstheme="majorBidi"/>
          <w:sz w:val="26"/>
          <w:szCs w:val="26"/>
        </w:rPr>
      </w:pPr>
      <w:r w:rsidRPr="0048587E">
        <w:rPr>
          <w:rFonts w:asciiTheme="majorBidi" w:hAnsiTheme="majorBidi" w:cstheme="majorBidi"/>
          <w:sz w:val="26"/>
          <w:szCs w:val="26"/>
        </w:rPr>
        <w:t xml:space="preserve">The decision in </w:t>
      </w:r>
      <w:r w:rsidRPr="0048587E">
        <w:rPr>
          <w:rFonts w:asciiTheme="majorBidi" w:hAnsiTheme="majorBidi" w:cstheme="majorBidi"/>
          <w:i/>
          <w:iCs/>
          <w:sz w:val="26"/>
          <w:szCs w:val="26"/>
        </w:rPr>
        <w:t xml:space="preserve">Muse </w:t>
      </w:r>
      <w:r w:rsidRPr="0048587E">
        <w:rPr>
          <w:rFonts w:asciiTheme="majorBidi" w:hAnsiTheme="majorBidi" w:cstheme="majorBidi"/>
          <w:sz w:val="26"/>
          <w:szCs w:val="26"/>
        </w:rPr>
        <w:t xml:space="preserve">has since been cited in decisions around the country.  </w:t>
      </w:r>
      <w:r w:rsidRPr="0048587E">
        <w:rPr>
          <w:rFonts w:asciiTheme="majorBidi" w:hAnsiTheme="majorBidi" w:cstheme="majorBidi"/>
          <w:i/>
          <w:iCs/>
          <w:sz w:val="26"/>
          <w:szCs w:val="26"/>
        </w:rPr>
        <w:t>See Alexis v. Sessions</w:t>
      </w:r>
      <w:r w:rsidRPr="0048587E">
        <w:rPr>
          <w:rFonts w:asciiTheme="majorBidi" w:hAnsiTheme="majorBidi" w:cstheme="majorBidi"/>
          <w:sz w:val="26"/>
          <w:szCs w:val="26"/>
        </w:rPr>
        <w:t xml:space="preserve">, No. H-18-1923, 2018 WL 5921017 (S.D. Tex. Nov. 13, 2018) (relying on </w:t>
      </w:r>
      <w:r w:rsidRPr="0048587E">
        <w:rPr>
          <w:rFonts w:asciiTheme="majorBidi" w:hAnsiTheme="majorBidi" w:cstheme="majorBidi"/>
          <w:i/>
          <w:iCs/>
          <w:sz w:val="26"/>
          <w:szCs w:val="26"/>
        </w:rPr>
        <w:t>Muse</w:t>
      </w:r>
      <w:r w:rsidRPr="0048587E">
        <w:rPr>
          <w:rFonts w:asciiTheme="majorBidi" w:hAnsiTheme="majorBidi" w:cstheme="majorBidi"/>
          <w:sz w:val="26"/>
          <w:szCs w:val="26"/>
        </w:rPr>
        <w:t xml:space="preserve">); </w:t>
      </w:r>
      <w:r w:rsidRPr="0048587E">
        <w:rPr>
          <w:rFonts w:asciiTheme="majorBidi" w:hAnsiTheme="majorBidi" w:cstheme="majorBidi"/>
          <w:i/>
          <w:iCs/>
          <w:sz w:val="26"/>
          <w:szCs w:val="26"/>
        </w:rPr>
        <w:t>Hechavarria v. Sessions</w:t>
      </w:r>
      <w:r w:rsidRPr="0048587E">
        <w:rPr>
          <w:rFonts w:asciiTheme="majorBidi" w:hAnsiTheme="majorBidi" w:cstheme="majorBidi"/>
          <w:sz w:val="26"/>
          <w:szCs w:val="26"/>
        </w:rPr>
        <w:t xml:space="preserve">, No. 15-cv-1058, 2018 WL 5776421 (W.D.N.Y. Nov. 2, 2018) (collecting cases); </w:t>
      </w:r>
      <w:r w:rsidRPr="0048587E">
        <w:rPr>
          <w:rFonts w:asciiTheme="majorBidi" w:hAnsiTheme="majorBidi" w:cstheme="majorBidi"/>
          <w:i/>
          <w:iCs/>
          <w:sz w:val="26"/>
          <w:szCs w:val="26"/>
        </w:rPr>
        <w:t>Gonzalez v. Bonnar</w:t>
      </w:r>
      <w:r w:rsidRPr="0048587E">
        <w:rPr>
          <w:rFonts w:asciiTheme="majorBidi" w:hAnsiTheme="majorBidi" w:cstheme="majorBidi"/>
          <w:sz w:val="26"/>
          <w:szCs w:val="26"/>
        </w:rPr>
        <w:t>, No. 18-cv-5321-JSC, 2018 WL 4849684 (N.D. Cal. Oct. 4, 2018) (same);</w:t>
      </w:r>
      <w:r w:rsidRPr="0048587E">
        <w:rPr>
          <w:rFonts w:asciiTheme="majorBidi" w:hAnsiTheme="majorBidi" w:cstheme="majorBidi"/>
          <w:i/>
          <w:iCs/>
          <w:sz w:val="26"/>
          <w:szCs w:val="26"/>
        </w:rPr>
        <w:t xml:space="preserve"> see also</w:t>
      </w:r>
      <w:r w:rsidRPr="0048587E">
        <w:rPr>
          <w:rFonts w:asciiTheme="majorBidi" w:hAnsiTheme="majorBidi" w:cstheme="majorBidi"/>
          <w:sz w:val="26"/>
          <w:szCs w:val="26"/>
        </w:rPr>
        <w:t xml:space="preserve"> Report &amp; Recommendation,</w:t>
      </w:r>
      <w:r w:rsidRPr="0048587E">
        <w:rPr>
          <w:rFonts w:asciiTheme="majorBidi" w:hAnsiTheme="majorBidi" w:cstheme="majorBidi"/>
          <w:i/>
          <w:iCs/>
          <w:sz w:val="26"/>
          <w:szCs w:val="26"/>
        </w:rPr>
        <w:t xml:space="preserve"> </w:t>
      </w:r>
      <w:proofErr w:type="spellStart"/>
      <w:r w:rsidRPr="0048587E">
        <w:rPr>
          <w:rFonts w:asciiTheme="majorBidi" w:hAnsiTheme="majorBidi" w:cstheme="majorBidi"/>
          <w:i/>
          <w:iCs/>
          <w:sz w:val="26"/>
          <w:szCs w:val="26"/>
        </w:rPr>
        <w:t>Duop</w:t>
      </w:r>
      <w:proofErr w:type="spellEnd"/>
      <w:r w:rsidRPr="0048587E">
        <w:rPr>
          <w:rFonts w:asciiTheme="majorBidi" w:hAnsiTheme="majorBidi" w:cstheme="majorBidi"/>
          <w:i/>
          <w:iCs/>
          <w:sz w:val="26"/>
          <w:szCs w:val="26"/>
        </w:rPr>
        <w:t xml:space="preserve"> v. Sec’y, Dep’t of Homeland Sec.</w:t>
      </w:r>
      <w:r w:rsidRPr="0048587E">
        <w:rPr>
          <w:rFonts w:asciiTheme="majorBidi" w:hAnsiTheme="majorBidi" w:cstheme="majorBidi"/>
          <w:sz w:val="26"/>
          <w:szCs w:val="26"/>
        </w:rPr>
        <w:t xml:space="preserve">, No. 18-cv-1645-NEB-HB, 2018 WL 5849477 (D. Minn. Sept. 28, 2018) (following </w:t>
      </w:r>
      <w:r w:rsidRPr="0048587E">
        <w:rPr>
          <w:rFonts w:asciiTheme="majorBidi" w:hAnsiTheme="majorBidi" w:cstheme="majorBidi"/>
          <w:i/>
          <w:iCs/>
          <w:sz w:val="26"/>
          <w:szCs w:val="26"/>
        </w:rPr>
        <w:t>Muse</w:t>
      </w:r>
      <w:r w:rsidRPr="0048587E">
        <w:rPr>
          <w:rFonts w:asciiTheme="majorBidi" w:hAnsiTheme="majorBidi" w:cstheme="majorBidi"/>
          <w:sz w:val="26"/>
          <w:szCs w:val="26"/>
        </w:rPr>
        <w:t xml:space="preserve">, </w:t>
      </w:r>
      <w:r w:rsidRPr="0048587E">
        <w:rPr>
          <w:rFonts w:asciiTheme="majorBidi" w:hAnsiTheme="majorBidi" w:cstheme="majorBidi"/>
          <w:i/>
          <w:iCs/>
          <w:sz w:val="26"/>
          <w:szCs w:val="26"/>
        </w:rPr>
        <w:t>Mohamed</w:t>
      </w:r>
      <w:r w:rsidRPr="0048587E">
        <w:rPr>
          <w:rFonts w:asciiTheme="majorBidi" w:hAnsiTheme="majorBidi" w:cstheme="majorBidi"/>
          <w:sz w:val="26"/>
          <w:szCs w:val="26"/>
        </w:rPr>
        <w:t xml:space="preserve">, and </w:t>
      </w:r>
      <w:proofErr w:type="spellStart"/>
      <w:r w:rsidRPr="0048587E">
        <w:rPr>
          <w:rFonts w:asciiTheme="majorBidi" w:hAnsiTheme="majorBidi" w:cstheme="majorBidi"/>
          <w:i/>
          <w:iCs/>
          <w:sz w:val="26"/>
          <w:szCs w:val="26"/>
        </w:rPr>
        <w:t>Tindi</w:t>
      </w:r>
      <w:proofErr w:type="spellEnd"/>
      <w:r w:rsidRPr="0048587E">
        <w:rPr>
          <w:rFonts w:asciiTheme="majorBidi" w:hAnsiTheme="majorBidi" w:cstheme="majorBidi"/>
          <w:sz w:val="26"/>
          <w:szCs w:val="26"/>
        </w:rPr>
        <w:t xml:space="preserve">), </w:t>
      </w:r>
      <w:r w:rsidRPr="0048587E">
        <w:rPr>
          <w:rFonts w:asciiTheme="majorBidi" w:hAnsiTheme="majorBidi" w:cstheme="majorBidi"/>
          <w:i/>
          <w:iCs/>
          <w:sz w:val="26"/>
          <w:szCs w:val="26"/>
        </w:rPr>
        <w:t>adopted as modified</w:t>
      </w:r>
      <w:r w:rsidRPr="0048587E">
        <w:rPr>
          <w:rFonts w:asciiTheme="majorBidi" w:hAnsiTheme="majorBidi" w:cstheme="majorBidi"/>
          <w:sz w:val="26"/>
          <w:szCs w:val="26"/>
        </w:rPr>
        <w:t xml:space="preserve">, 2018 WL 5847244 (D. Minn. Nov. 8, 2018) (denying release where petitioner’s order of removal became final and authority for detention changed to § 1231).  The </w:t>
      </w:r>
      <w:bookmarkStart w:name="_GoBack" w:id="3"/>
      <w:r w:rsidRPr="0048587E">
        <w:rPr>
          <w:rFonts w:asciiTheme="majorBidi" w:hAnsiTheme="majorBidi" w:cstheme="majorBidi"/>
          <w:i/>
          <w:iCs/>
          <w:sz w:val="26"/>
          <w:szCs w:val="26"/>
        </w:rPr>
        <w:t>Mohamed</w:t>
      </w:r>
      <w:bookmarkEnd w:id="3"/>
      <w:r w:rsidRPr="0048587E">
        <w:rPr>
          <w:rFonts w:asciiTheme="majorBidi" w:hAnsiTheme="majorBidi" w:cstheme="majorBidi"/>
          <w:i/>
          <w:iCs/>
          <w:sz w:val="26"/>
          <w:szCs w:val="26"/>
        </w:rPr>
        <w:t xml:space="preserve"> </w:t>
      </w:r>
      <w:r w:rsidRPr="0048587E">
        <w:rPr>
          <w:rFonts w:asciiTheme="majorBidi" w:hAnsiTheme="majorBidi" w:cstheme="majorBidi"/>
          <w:sz w:val="26"/>
          <w:szCs w:val="26"/>
        </w:rPr>
        <w:t xml:space="preserve">decision has similarly been cited in various districts.  </w:t>
      </w:r>
      <w:r w:rsidRPr="0048587E">
        <w:rPr>
          <w:rFonts w:asciiTheme="majorBidi" w:hAnsiTheme="majorBidi" w:cstheme="majorBidi"/>
          <w:i/>
          <w:iCs/>
          <w:sz w:val="26"/>
          <w:szCs w:val="26"/>
        </w:rPr>
        <w:t xml:space="preserve">See Portillo v. </w:t>
      </w:r>
      <w:proofErr w:type="spellStart"/>
      <w:r w:rsidRPr="0048587E">
        <w:rPr>
          <w:rFonts w:asciiTheme="majorBidi" w:hAnsiTheme="majorBidi" w:cstheme="majorBidi"/>
          <w:i/>
          <w:iCs/>
          <w:sz w:val="26"/>
          <w:szCs w:val="26"/>
        </w:rPr>
        <w:t>Hott</w:t>
      </w:r>
      <w:proofErr w:type="spellEnd"/>
      <w:r w:rsidRPr="0048587E">
        <w:rPr>
          <w:rFonts w:asciiTheme="majorBidi" w:hAnsiTheme="majorBidi" w:cstheme="majorBidi"/>
          <w:sz w:val="26"/>
          <w:szCs w:val="26"/>
        </w:rPr>
        <w:t>, 322 F. Supp. 3d 698, 707 (E.D. Va. 2018).</w:t>
      </w:r>
      <w:r w:rsidRPr="0048587E" w:rsidR="00C87F9E">
        <w:rPr>
          <w:rFonts w:asciiTheme="majorBidi" w:hAnsiTheme="majorBidi" w:cstheme="majorBidi"/>
          <w:sz w:val="26"/>
          <w:szCs w:val="26"/>
        </w:rPr>
        <w:t xml:space="preserve">  Moreover, the decisions from this District are in line with dozens upon dozens of post-</w:t>
      </w:r>
      <w:r w:rsidRPr="0048587E" w:rsidR="00C87F9E">
        <w:rPr>
          <w:rFonts w:asciiTheme="majorBidi" w:hAnsiTheme="majorBidi" w:cstheme="majorBidi"/>
          <w:i/>
          <w:iCs/>
          <w:sz w:val="26"/>
          <w:szCs w:val="26"/>
        </w:rPr>
        <w:t>Jennings</w:t>
      </w:r>
      <w:r w:rsidRPr="0048587E" w:rsidR="00C87F9E">
        <w:rPr>
          <w:rFonts w:asciiTheme="majorBidi" w:hAnsiTheme="majorBidi" w:cstheme="majorBidi"/>
          <w:sz w:val="26"/>
          <w:szCs w:val="26"/>
        </w:rPr>
        <w:t xml:space="preserve"> decisions around the country, while only a small fraction of </w:t>
      </w:r>
      <w:r w:rsidRPr="0048587E" w:rsidR="00C87F9E">
        <w:rPr>
          <w:rFonts w:asciiTheme="majorBidi" w:hAnsiTheme="majorBidi" w:cstheme="majorBidi"/>
          <w:sz w:val="26"/>
          <w:szCs w:val="26"/>
        </w:rPr>
        <w:lastRenderedPageBreak/>
        <w:t>cases since then support Respondents’ position.  Importantly, nearly every time the government has put forward the same arguments Respondents make here, they have been rejected by this Court and most other courts.</w:t>
      </w:r>
    </w:p>
    <w:p w:rsidRPr="0048587E" w:rsidR="00C87F9E" w:rsidP="002502A8" w:rsidRDefault="00C87F9E" w14:paraId="5B075C52" w14:textId="5A5A8BCF">
      <w:pPr>
        <w:widowControl w:val="0"/>
        <w:tabs>
          <w:tab w:val="left" w:pos="5040"/>
        </w:tabs>
        <w:spacing w:after="0" w:line="480" w:lineRule="auto"/>
        <w:ind w:firstLine="720"/>
        <w:rPr>
          <w:rFonts w:asciiTheme="majorBidi" w:hAnsiTheme="majorBidi" w:cstheme="majorBidi"/>
          <w:sz w:val="26"/>
          <w:szCs w:val="26"/>
        </w:rPr>
      </w:pPr>
      <w:r w:rsidRPr="0048587E">
        <w:rPr>
          <w:rFonts w:asciiTheme="majorBidi" w:hAnsiTheme="majorBidi" w:cstheme="majorBidi"/>
          <w:sz w:val="26"/>
          <w:szCs w:val="26"/>
        </w:rPr>
        <w:t xml:space="preserve">As in </w:t>
      </w:r>
      <w:r w:rsidRPr="0048587E">
        <w:rPr>
          <w:rFonts w:asciiTheme="majorBidi" w:hAnsiTheme="majorBidi" w:cstheme="majorBidi"/>
          <w:i/>
          <w:iCs/>
          <w:sz w:val="26"/>
          <w:szCs w:val="26"/>
        </w:rPr>
        <w:t>Muse</w:t>
      </w:r>
      <w:r w:rsidRPr="0048587E">
        <w:rPr>
          <w:rFonts w:asciiTheme="majorBidi" w:hAnsiTheme="majorBidi" w:cstheme="majorBidi"/>
          <w:sz w:val="26"/>
          <w:szCs w:val="26"/>
        </w:rPr>
        <w:t xml:space="preserve">, the </w:t>
      </w:r>
      <w:r w:rsidRPr="0048587E">
        <w:rPr>
          <w:rFonts w:asciiTheme="majorBidi" w:hAnsiTheme="majorBidi" w:cstheme="majorBidi"/>
          <w:i/>
          <w:iCs/>
          <w:sz w:val="26"/>
          <w:szCs w:val="26"/>
        </w:rPr>
        <w:t xml:space="preserve">Reid </w:t>
      </w:r>
      <w:r w:rsidRPr="0048587E">
        <w:rPr>
          <w:rFonts w:asciiTheme="majorBidi" w:hAnsiTheme="majorBidi" w:cstheme="majorBidi"/>
          <w:sz w:val="26"/>
          <w:szCs w:val="26"/>
        </w:rPr>
        <w:t xml:space="preserve">factors favor Petitioner.  </w:t>
      </w:r>
      <w:r w:rsidRPr="0048587E">
        <w:rPr>
          <w:rFonts w:asciiTheme="majorBidi" w:hAnsiTheme="majorBidi" w:cstheme="majorBidi"/>
          <w:i/>
          <w:iCs/>
          <w:sz w:val="26"/>
          <w:szCs w:val="26"/>
        </w:rPr>
        <w:t>Muse</w:t>
      </w:r>
      <w:r w:rsidRPr="0048587E">
        <w:rPr>
          <w:rFonts w:asciiTheme="majorBidi" w:hAnsiTheme="majorBidi" w:cstheme="majorBidi"/>
          <w:sz w:val="26"/>
          <w:szCs w:val="26"/>
        </w:rPr>
        <w:t xml:space="preserve">, 2018 WL 4466052, at *4.  In fact, when compared to </w:t>
      </w:r>
      <w:r w:rsidRPr="0048587E">
        <w:rPr>
          <w:rFonts w:asciiTheme="majorBidi" w:hAnsiTheme="majorBidi" w:cstheme="majorBidi"/>
          <w:i/>
          <w:iCs/>
          <w:sz w:val="26"/>
          <w:szCs w:val="26"/>
        </w:rPr>
        <w:t>Muse</w:t>
      </w:r>
      <w:r w:rsidRPr="0048587E">
        <w:rPr>
          <w:rFonts w:asciiTheme="majorBidi" w:hAnsiTheme="majorBidi" w:cstheme="majorBidi"/>
          <w:sz w:val="26"/>
          <w:szCs w:val="26"/>
        </w:rPr>
        <w:t xml:space="preserve">—which Respondents attempt to distinguish—Petitioner is in an even better position for release.  Docket No. 8 at 27–29.  The total length of detention favors Petitioner.  In </w:t>
      </w:r>
      <w:r w:rsidRPr="0048587E">
        <w:rPr>
          <w:rFonts w:asciiTheme="majorBidi" w:hAnsiTheme="majorBidi" w:cstheme="majorBidi"/>
          <w:i/>
          <w:iCs/>
          <w:sz w:val="26"/>
          <w:szCs w:val="26"/>
        </w:rPr>
        <w:t>Muse</w:t>
      </w:r>
      <w:r w:rsidRPr="0048587E">
        <w:rPr>
          <w:rFonts w:asciiTheme="majorBidi" w:hAnsiTheme="majorBidi" w:cstheme="majorBidi"/>
          <w:sz w:val="26"/>
          <w:szCs w:val="26"/>
        </w:rPr>
        <w:t xml:space="preserve">, the petitioner was detained roughly one month </w:t>
      </w:r>
      <w:r w:rsidRPr="0048587E">
        <w:rPr>
          <w:rFonts w:asciiTheme="majorBidi" w:hAnsiTheme="majorBidi" w:cstheme="majorBidi"/>
          <w:i/>
          <w:iCs/>
          <w:sz w:val="26"/>
          <w:szCs w:val="26"/>
        </w:rPr>
        <w:t>after</w:t>
      </w:r>
      <w:r w:rsidRPr="0048587E">
        <w:rPr>
          <w:rFonts w:asciiTheme="majorBidi" w:hAnsiTheme="majorBidi" w:cstheme="majorBidi"/>
          <w:sz w:val="26"/>
          <w:szCs w:val="26"/>
        </w:rPr>
        <w:t xml:space="preserve"> Petitioner, and the decision came down more than two months ago; Petitioner, then, has been in detention more than three months longer at this point than Mr. Muse at the time of Judge </w:t>
      </w:r>
      <w:proofErr w:type="spellStart"/>
      <w:r w:rsidRPr="0048587E">
        <w:rPr>
          <w:rFonts w:asciiTheme="majorBidi" w:hAnsiTheme="majorBidi" w:cstheme="majorBidi"/>
          <w:sz w:val="26"/>
          <w:szCs w:val="26"/>
        </w:rPr>
        <w:t>Schiltz’s</w:t>
      </w:r>
      <w:proofErr w:type="spellEnd"/>
      <w:r w:rsidRPr="0048587E">
        <w:rPr>
          <w:rFonts w:asciiTheme="majorBidi" w:hAnsiTheme="majorBidi" w:cstheme="majorBidi"/>
          <w:sz w:val="26"/>
          <w:szCs w:val="26"/>
        </w:rPr>
        <w:t xml:space="preserve"> decision.  Second, the likely duration of future detention additionally favors Petitioner.  </w:t>
      </w:r>
      <w:r w:rsidRPr="0048587E" w:rsidR="003F28DA">
        <w:rPr>
          <w:rFonts w:asciiTheme="majorBidi" w:hAnsiTheme="majorBidi" w:cstheme="majorBidi"/>
          <w:sz w:val="26"/>
          <w:szCs w:val="26"/>
        </w:rPr>
        <w:t xml:space="preserve">Just as in </w:t>
      </w:r>
      <w:r w:rsidRPr="0048587E" w:rsidR="003F28DA">
        <w:rPr>
          <w:rFonts w:asciiTheme="majorBidi" w:hAnsiTheme="majorBidi" w:cstheme="majorBidi"/>
          <w:i/>
          <w:iCs/>
          <w:sz w:val="26"/>
          <w:szCs w:val="26"/>
        </w:rPr>
        <w:t>Muse</w:t>
      </w:r>
      <w:r w:rsidRPr="0048587E" w:rsidR="003F28DA">
        <w:rPr>
          <w:rFonts w:asciiTheme="majorBidi" w:hAnsiTheme="majorBidi" w:cstheme="majorBidi"/>
          <w:sz w:val="26"/>
          <w:szCs w:val="26"/>
        </w:rPr>
        <w:t xml:space="preserve">, Petitioner was granted cancellation of removal, but that grant was vacated on discretionary grounds by the BIA.  However, Petitioner here again was granted relief by the IJ, while Mr. Muse was denied relief just a few days before his case was argued before Judge </w:t>
      </w:r>
      <w:proofErr w:type="spellStart"/>
      <w:r w:rsidRPr="0048587E" w:rsidR="003F28DA">
        <w:rPr>
          <w:rFonts w:asciiTheme="majorBidi" w:hAnsiTheme="majorBidi" w:cstheme="majorBidi"/>
          <w:sz w:val="26"/>
          <w:szCs w:val="26"/>
        </w:rPr>
        <w:t>Schiltz</w:t>
      </w:r>
      <w:proofErr w:type="spellEnd"/>
      <w:r w:rsidRPr="0048587E" w:rsidR="003F28DA">
        <w:rPr>
          <w:rFonts w:asciiTheme="majorBidi" w:hAnsiTheme="majorBidi" w:cstheme="majorBidi"/>
          <w:sz w:val="26"/>
          <w:szCs w:val="26"/>
        </w:rPr>
        <w:t xml:space="preserve">; Mr. Muse’s own appeal is also pending before the BIA, but at least has been briefed at this time.  Third, the conditions of detention are identical for both Mr. Muse and Petitioner, as they have been detained at the same ICE facilities in Minnesota at various times.  Fourth, Petitioner, just like Mr. Muse, requested continuances to adequately present his case; Judge </w:t>
      </w:r>
      <w:proofErr w:type="spellStart"/>
      <w:r w:rsidRPr="0048587E" w:rsidR="003F28DA">
        <w:rPr>
          <w:rFonts w:asciiTheme="majorBidi" w:hAnsiTheme="majorBidi" w:cstheme="majorBidi"/>
          <w:sz w:val="26"/>
          <w:szCs w:val="26"/>
        </w:rPr>
        <w:t>Schiltz</w:t>
      </w:r>
      <w:proofErr w:type="spellEnd"/>
      <w:r w:rsidRPr="0048587E" w:rsidR="003F28DA">
        <w:rPr>
          <w:rFonts w:asciiTheme="majorBidi" w:hAnsiTheme="majorBidi" w:cstheme="majorBidi"/>
          <w:sz w:val="26"/>
          <w:szCs w:val="26"/>
        </w:rPr>
        <w:t xml:space="preserve"> did not find Mr. Muse’s continuances to undermine his due process claims, and the instant </w:t>
      </w:r>
      <w:r w:rsidRPr="0048587E" w:rsidR="003F28DA">
        <w:rPr>
          <w:rFonts w:asciiTheme="majorBidi" w:hAnsiTheme="majorBidi" w:cstheme="majorBidi"/>
          <w:sz w:val="26"/>
          <w:szCs w:val="26"/>
        </w:rPr>
        <w:lastRenderedPageBreak/>
        <w:t>Petitioner’s continuances similarly were not dilatory or in bad faith.</w:t>
      </w:r>
      <w:r w:rsidRPr="0048587E" w:rsidR="003F28DA">
        <w:rPr>
          <w:rStyle w:val="FootnoteReference"/>
          <w:rFonts w:asciiTheme="majorBidi" w:hAnsiTheme="majorBidi" w:cstheme="majorBidi"/>
          <w:sz w:val="26"/>
          <w:szCs w:val="26"/>
        </w:rPr>
        <w:footnoteReference w:id="4"/>
      </w:r>
      <w:r w:rsidRPr="0048587E" w:rsidR="00951FB9">
        <w:rPr>
          <w:rFonts w:asciiTheme="majorBidi" w:hAnsiTheme="majorBidi" w:cstheme="majorBidi"/>
          <w:sz w:val="26"/>
          <w:szCs w:val="26"/>
        </w:rPr>
        <w:t xml:space="preserve">  Fifth, Petitioner’s case does not differ meaningfully from </w:t>
      </w:r>
      <w:r w:rsidRPr="0048587E" w:rsidR="00951FB9">
        <w:rPr>
          <w:rFonts w:asciiTheme="majorBidi" w:hAnsiTheme="majorBidi" w:cstheme="majorBidi"/>
          <w:i/>
          <w:iCs/>
          <w:sz w:val="26"/>
          <w:szCs w:val="26"/>
        </w:rPr>
        <w:t>Muse</w:t>
      </w:r>
      <w:r w:rsidRPr="0048587E" w:rsidR="00951FB9">
        <w:rPr>
          <w:rFonts w:asciiTheme="majorBidi" w:hAnsiTheme="majorBidi" w:cstheme="majorBidi"/>
          <w:sz w:val="26"/>
          <w:szCs w:val="26"/>
        </w:rPr>
        <w:t xml:space="preserve">, and Judge </w:t>
      </w:r>
      <w:proofErr w:type="spellStart"/>
      <w:r w:rsidRPr="0048587E" w:rsidR="00951FB9">
        <w:rPr>
          <w:rFonts w:asciiTheme="majorBidi" w:hAnsiTheme="majorBidi" w:cstheme="majorBidi"/>
          <w:sz w:val="26"/>
          <w:szCs w:val="26"/>
        </w:rPr>
        <w:t>Schiltz</w:t>
      </w:r>
      <w:proofErr w:type="spellEnd"/>
      <w:r w:rsidRPr="0048587E" w:rsidR="00951FB9">
        <w:rPr>
          <w:rFonts w:asciiTheme="majorBidi" w:hAnsiTheme="majorBidi" w:cstheme="majorBidi"/>
          <w:sz w:val="26"/>
          <w:szCs w:val="26"/>
        </w:rPr>
        <w:t xml:space="preserve"> did not find delays caused by the government.  Finally, Petitioner’s position is much stronger than Mr. Muse’s on the likelihood that the removal proceedings will result in a final order of removal.  While Mr. Muse had recently lost before the IJ, here, Petitioner was granted relief a second time and DHS appealed.  Respondents may speculate about the result of that appeal, the outcome of the first appeal does not guarantee the same result this time; however, Petitioner is aware that Respondent Whitaker oversees the Executive Office for Immigration Reform, including the BIA, but hopes that Respondents are limited to speculation only regarding the outcome, as any work to prejudge the outcome of the appeal, other than on its merits, would be grossly unlawful.</w:t>
      </w:r>
    </w:p>
    <w:p w:rsidRPr="0048587E" w:rsidR="00951FB9" w:rsidP="002502A8" w:rsidRDefault="00951FB9" w14:paraId="5EB2678D" w14:textId="193A7A55">
      <w:pPr>
        <w:widowControl w:val="0"/>
        <w:tabs>
          <w:tab w:val="left" w:pos="5040"/>
        </w:tabs>
        <w:spacing w:after="0" w:line="480" w:lineRule="auto"/>
        <w:ind w:firstLine="720"/>
        <w:rPr>
          <w:rFonts w:asciiTheme="majorBidi" w:hAnsiTheme="majorBidi" w:cstheme="majorBidi"/>
          <w:sz w:val="26"/>
          <w:szCs w:val="26"/>
        </w:rPr>
      </w:pPr>
      <w:r w:rsidRPr="0048587E">
        <w:rPr>
          <w:rFonts w:asciiTheme="majorBidi" w:hAnsiTheme="majorBidi" w:cstheme="majorBidi"/>
          <w:sz w:val="26"/>
          <w:szCs w:val="26"/>
        </w:rPr>
        <w:t xml:space="preserve">None of the other “differences” Respondents point to between Petitioner’s case and </w:t>
      </w:r>
      <w:r w:rsidRPr="0048587E">
        <w:rPr>
          <w:rFonts w:asciiTheme="majorBidi" w:hAnsiTheme="majorBidi" w:cstheme="majorBidi"/>
          <w:i/>
          <w:iCs/>
          <w:sz w:val="26"/>
          <w:szCs w:val="26"/>
        </w:rPr>
        <w:t>Muse</w:t>
      </w:r>
      <w:r w:rsidRPr="0048587E">
        <w:rPr>
          <w:rFonts w:asciiTheme="majorBidi" w:hAnsiTheme="majorBidi" w:cstheme="majorBidi"/>
          <w:sz w:val="26"/>
          <w:szCs w:val="26"/>
        </w:rPr>
        <w:t xml:space="preserve"> are relevant to the analysis of constitutionality.  While</w:t>
      </w:r>
      <w:r w:rsidRPr="0048587E" w:rsidR="00003654">
        <w:rPr>
          <w:rFonts w:asciiTheme="majorBidi" w:hAnsiTheme="majorBidi" w:cstheme="majorBidi"/>
          <w:sz w:val="26"/>
          <w:szCs w:val="26"/>
        </w:rPr>
        <w:t xml:space="preserve"> it may be true that</w:t>
      </w:r>
      <w:r w:rsidRPr="0048587E">
        <w:rPr>
          <w:rFonts w:asciiTheme="majorBidi" w:hAnsiTheme="majorBidi" w:cstheme="majorBidi"/>
          <w:sz w:val="26"/>
          <w:szCs w:val="26"/>
        </w:rPr>
        <w:t xml:space="preserve"> Petitioner </w:t>
      </w:r>
      <w:r w:rsidRPr="0048587E" w:rsidR="00003654">
        <w:rPr>
          <w:rFonts w:asciiTheme="majorBidi" w:hAnsiTheme="majorBidi" w:cstheme="majorBidi"/>
          <w:sz w:val="26"/>
          <w:szCs w:val="26"/>
        </w:rPr>
        <w:t>has</w:t>
      </w:r>
      <w:r w:rsidRPr="0048587E">
        <w:rPr>
          <w:rFonts w:asciiTheme="majorBidi" w:hAnsiTheme="majorBidi" w:cstheme="majorBidi"/>
          <w:sz w:val="26"/>
          <w:szCs w:val="26"/>
        </w:rPr>
        <w:t xml:space="preserve"> a significant criminal record</w:t>
      </w:r>
      <w:r w:rsidRPr="0048587E" w:rsidR="00003654">
        <w:rPr>
          <w:rFonts w:asciiTheme="majorBidi" w:hAnsiTheme="majorBidi" w:cstheme="majorBidi"/>
          <w:sz w:val="26"/>
          <w:szCs w:val="26"/>
        </w:rPr>
        <w:t xml:space="preserve"> and “no proven track record” of rehabilitation</w:t>
      </w:r>
      <w:r w:rsidRPr="0048587E">
        <w:rPr>
          <w:rFonts w:asciiTheme="majorBidi" w:hAnsiTheme="majorBidi" w:cstheme="majorBidi"/>
          <w:sz w:val="26"/>
          <w:szCs w:val="26"/>
        </w:rPr>
        <w:t>, that does not make indefinite detention more constitutional; instead, those are factors to be considered at a bond hearing.</w:t>
      </w:r>
      <w:r w:rsidRPr="0048587E">
        <w:rPr>
          <w:rStyle w:val="FootnoteReference"/>
          <w:rFonts w:asciiTheme="majorBidi" w:hAnsiTheme="majorBidi" w:cstheme="majorBidi"/>
          <w:sz w:val="26"/>
          <w:szCs w:val="26"/>
        </w:rPr>
        <w:footnoteReference w:id="5"/>
      </w:r>
      <w:r w:rsidRPr="0048587E" w:rsidR="00003654">
        <w:rPr>
          <w:rFonts w:asciiTheme="majorBidi" w:hAnsiTheme="majorBidi" w:cstheme="majorBidi"/>
          <w:sz w:val="26"/>
          <w:szCs w:val="26"/>
        </w:rPr>
        <w:t xml:space="preserve">  Similarly, consideration of the length of sentence was </w:t>
      </w:r>
      <w:r w:rsidRPr="0048587E" w:rsidR="00003654">
        <w:rPr>
          <w:rFonts w:asciiTheme="majorBidi" w:hAnsiTheme="majorBidi" w:cstheme="majorBidi"/>
          <w:sz w:val="26"/>
          <w:szCs w:val="26"/>
        </w:rPr>
        <w:lastRenderedPageBreak/>
        <w:t xml:space="preserve">expressly rejected by Judge </w:t>
      </w:r>
      <w:proofErr w:type="spellStart"/>
      <w:r w:rsidRPr="0048587E" w:rsidR="00003654">
        <w:rPr>
          <w:rFonts w:asciiTheme="majorBidi" w:hAnsiTheme="majorBidi" w:cstheme="majorBidi"/>
          <w:sz w:val="26"/>
          <w:szCs w:val="26"/>
        </w:rPr>
        <w:t>Schiltz</w:t>
      </w:r>
      <w:proofErr w:type="spellEnd"/>
      <w:r w:rsidRPr="0048587E" w:rsidR="00003654">
        <w:rPr>
          <w:rFonts w:asciiTheme="majorBidi" w:hAnsiTheme="majorBidi" w:cstheme="majorBidi"/>
          <w:sz w:val="26"/>
          <w:szCs w:val="26"/>
        </w:rPr>
        <w:t xml:space="preserve"> in </w:t>
      </w:r>
      <w:r w:rsidRPr="0048587E" w:rsidR="00003654">
        <w:rPr>
          <w:rFonts w:asciiTheme="majorBidi" w:hAnsiTheme="majorBidi" w:cstheme="majorBidi"/>
          <w:i/>
          <w:iCs/>
          <w:sz w:val="26"/>
          <w:szCs w:val="26"/>
        </w:rPr>
        <w:t>Muse</w:t>
      </w:r>
      <w:r w:rsidRPr="0048587E" w:rsidR="00003654">
        <w:rPr>
          <w:rFonts w:asciiTheme="majorBidi" w:hAnsiTheme="majorBidi" w:cstheme="majorBidi"/>
          <w:sz w:val="26"/>
          <w:szCs w:val="26"/>
        </w:rPr>
        <w:t xml:space="preserve">.  2018 WL 4466052, at *3 n.3 (“The Court cannot understand why the length of a sentence imposed on an alien years ago . . . has any bearing on whether the alien’s current civil detention by the federal government under § 1226(c) is constitutional.”).  </w:t>
      </w:r>
    </w:p>
    <w:p w:rsidRPr="0048587E" w:rsidR="00003654" w:rsidP="002502A8" w:rsidRDefault="00003654" w14:paraId="7373DE86" w14:textId="2D724F26">
      <w:pPr>
        <w:widowControl w:val="0"/>
        <w:tabs>
          <w:tab w:val="left" w:pos="5040"/>
        </w:tabs>
        <w:spacing w:after="0" w:line="480" w:lineRule="auto"/>
        <w:ind w:firstLine="720"/>
        <w:rPr>
          <w:rFonts w:asciiTheme="majorBidi" w:hAnsiTheme="majorBidi" w:cstheme="majorBidi"/>
          <w:sz w:val="26"/>
          <w:szCs w:val="26"/>
        </w:rPr>
      </w:pPr>
      <w:r w:rsidRPr="0048587E">
        <w:rPr>
          <w:rFonts w:asciiTheme="majorBidi" w:hAnsiTheme="majorBidi" w:cstheme="majorBidi"/>
          <w:sz w:val="26"/>
          <w:szCs w:val="26"/>
        </w:rPr>
        <w:t xml:space="preserve">Thus, under the analysis adopted by this Court and others, as well as under Respondents’ attempts to distinguish Petitioner’s case from </w:t>
      </w:r>
      <w:r w:rsidRPr="0048587E">
        <w:rPr>
          <w:rFonts w:asciiTheme="majorBidi" w:hAnsiTheme="majorBidi" w:cstheme="majorBidi"/>
          <w:i/>
          <w:iCs/>
          <w:sz w:val="26"/>
          <w:szCs w:val="26"/>
        </w:rPr>
        <w:t>Muse</w:t>
      </w:r>
      <w:r w:rsidRPr="0048587E">
        <w:rPr>
          <w:rFonts w:asciiTheme="majorBidi" w:hAnsiTheme="majorBidi" w:cstheme="majorBidi"/>
          <w:sz w:val="26"/>
          <w:szCs w:val="26"/>
        </w:rPr>
        <w:t>, the facts of this case militate in favor of Petitioner.</w:t>
      </w:r>
    </w:p>
    <w:p w:rsidRPr="0048587E" w:rsidR="00003654" w:rsidP="002502A8" w:rsidRDefault="00003654" w14:paraId="15534145" w14:textId="443A036A">
      <w:pPr>
        <w:widowControl w:val="0"/>
        <w:tabs>
          <w:tab w:val="left" w:pos="5040"/>
        </w:tabs>
        <w:spacing w:after="0" w:line="480" w:lineRule="auto"/>
        <w:ind w:firstLine="720"/>
        <w:rPr>
          <w:rFonts w:asciiTheme="majorBidi" w:hAnsiTheme="majorBidi" w:cstheme="majorBidi"/>
          <w:sz w:val="26"/>
          <w:szCs w:val="26"/>
        </w:rPr>
      </w:pPr>
      <w:r w:rsidRPr="0048587E">
        <w:rPr>
          <w:rFonts w:asciiTheme="majorBidi" w:hAnsiTheme="majorBidi" w:cstheme="majorBidi"/>
          <w:sz w:val="26"/>
          <w:szCs w:val="26"/>
        </w:rPr>
        <w:t xml:space="preserve">Finally, under the sixth </w:t>
      </w:r>
      <w:r w:rsidRPr="0048587E">
        <w:rPr>
          <w:rFonts w:asciiTheme="majorBidi" w:hAnsiTheme="majorBidi" w:cstheme="majorBidi"/>
          <w:i/>
          <w:iCs/>
          <w:sz w:val="26"/>
          <w:szCs w:val="26"/>
        </w:rPr>
        <w:t>Reid</w:t>
      </w:r>
      <w:r w:rsidRPr="0048587E">
        <w:rPr>
          <w:rFonts w:asciiTheme="majorBidi" w:hAnsiTheme="majorBidi" w:cstheme="majorBidi"/>
          <w:sz w:val="26"/>
          <w:szCs w:val="26"/>
        </w:rPr>
        <w:t>/</w:t>
      </w:r>
      <w:r w:rsidRPr="0048587E">
        <w:rPr>
          <w:rFonts w:asciiTheme="majorBidi" w:hAnsiTheme="majorBidi" w:cstheme="majorBidi"/>
          <w:i/>
          <w:iCs/>
          <w:sz w:val="26"/>
          <w:szCs w:val="26"/>
        </w:rPr>
        <w:t>Muse</w:t>
      </w:r>
      <w:r w:rsidRPr="0048587E">
        <w:rPr>
          <w:rFonts w:asciiTheme="majorBidi" w:hAnsiTheme="majorBidi" w:cstheme="majorBidi"/>
          <w:sz w:val="26"/>
          <w:szCs w:val="26"/>
        </w:rPr>
        <w:t xml:space="preserve"> factor, Petitioner’s current grant of relief should be emphasized again.  However, this Court—nor apparently any others—</w:t>
      </w:r>
      <w:r w:rsidRPr="0048587E" w:rsidR="00310347">
        <w:rPr>
          <w:rFonts w:asciiTheme="majorBidi" w:hAnsiTheme="majorBidi" w:cstheme="majorBidi"/>
          <w:sz w:val="26"/>
          <w:szCs w:val="26"/>
        </w:rPr>
        <w:t>has</w:t>
      </w:r>
      <w:r w:rsidRPr="0048587E">
        <w:rPr>
          <w:rFonts w:asciiTheme="majorBidi" w:hAnsiTheme="majorBidi" w:cstheme="majorBidi"/>
          <w:sz w:val="26"/>
          <w:szCs w:val="26"/>
        </w:rPr>
        <w:t xml:space="preserve"> </w:t>
      </w:r>
      <w:r w:rsidRPr="0048587E" w:rsidR="00310347">
        <w:rPr>
          <w:rFonts w:asciiTheme="majorBidi" w:hAnsiTheme="majorBidi" w:cstheme="majorBidi"/>
          <w:sz w:val="26"/>
          <w:szCs w:val="26"/>
        </w:rPr>
        <w:t xml:space="preserve">not </w:t>
      </w:r>
      <w:r w:rsidRPr="0048587E">
        <w:rPr>
          <w:rFonts w:asciiTheme="majorBidi" w:hAnsiTheme="majorBidi" w:cstheme="majorBidi"/>
          <w:sz w:val="26"/>
          <w:szCs w:val="26"/>
        </w:rPr>
        <w:t xml:space="preserve">squarely addressed the central problem here: that the government is detaining noncitizens who have been granted relief, pending the government’s own appeal.  To heighten this issue, it appears that </w:t>
      </w:r>
      <w:r w:rsidRPr="0048587E" w:rsidR="00310347">
        <w:rPr>
          <w:rFonts w:asciiTheme="majorBidi" w:hAnsiTheme="majorBidi" w:cstheme="majorBidi"/>
          <w:sz w:val="26"/>
          <w:szCs w:val="26"/>
        </w:rPr>
        <w:t>this occurs only in the realm of immigration detention, and, at that, is a relatively recent phenomenon.</w:t>
      </w:r>
      <w:r w:rsidRPr="0048587E" w:rsidR="00310347">
        <w:rPr>
          <w:rStyle w:val="FootnoteReference"/>
          <w:rFonts w:asciiTheme="majorBidi" w:hAnsiTheme="majorBidi" w:cstheme="majorBidi"/>
          <w:sz w:val="26"/>
          <w:szCs w:val="26"/>
        </w:rPr>
        <w:footnoteReference w:id="6"/>
      </w:r>
      <w:r w:rsidRPr="0048587E" w:rsidR="00D52E0A">
        <w:rPr>
          <w:rFonts w:asciiTheme="majorBidi" w:hAnsiTheme="majorBidi" w:cstheme="majorBidi"/>
          <w:sz w:val="26"/>
          <w:szCs w:val="26"/>
        </w:rPr>
        <w:t xml:space="preserve">  Detention after grants of relief certainly should be </w:t>
      </w:r>
      <w:r w:rsidRPr="0048587E" w:rsidR="00D52E0A">
        <w:rPr>
          <w:rFonts w:asciiTheme="majorBidi" w:hAnsiTheme="majorBidi" w:cstheme="majorBidi"/>
          <w:sz w:val="26"/>
          <w:szCs w:val="26"/>
        </w:rPr>
        <w:lastRenderedPageBreak/>
        <w:t xml:space="preserve">even less reasonable, but Petitioner submits that such detention may independently be unconstitutional, as no purpose identified by Congress or the courts for detention is satisfied where the noncitizen has won their case.  If this were a criminal case, the government would not be able to continue detaining a defendant who was acquitted or had the case dismissed, while the government appealed and hoped that the defendant could be prosecuted again; immigration and criminal detention differ in important ways, but in this regard detention should be prohibited in the immigration courts just as it is in the criminal courts.  </w:t>
      </w:r>
      <w:r w:rsidRPr="0048587E" w:rsidR="00D52E0A">
        <w:rPr>
          <w:rFonts w:asciiTheme="majorBidi" w:hAnsiTheme="majorBidi" w:cstheme="majorBidi"/>
          <w:i/>
          <w:iCs/>
          <w:sz w:val="26"/>
          <w:szCs w:val="26"/>
        </w:rPr>
        <w:t>See</w:t>
      </w:r>
      <w:r w:rsidRPr="0048587E" w:rsidR="00F91549">
        <w:rPr>
          <w:rFonts w:asciiTheme="majorBidi" w:hAnsiTheme="majorBidi" w:cstheme="majorBidi"/>
          <w:i/>
          <w:iCs/>
          <w:sz w:val="26"/>
          <w:szCs w:val="26"/>
        </w:rPr>
        <w:t xml:space="preserve"> Jones v. United States</w:t>
      </w:r>
      <w:r w:rsidRPr="0048587E" w:rsidR="00F91549">
        <w:rPr>
          <w:rFonts w:asciiTheme="majorBidi" w:hAnsiTheme="majorBidi" w:cstheme="majorBidi"/>
          <w:sz w:val="26"/>
          <w:szCs w:val="26"/>
        </w:rPr>
        <w:t xml:space="preserve">, 463 U.S. 354, 368 (1983) (limiting detention following acquittal by reason of insanity); </w:t>
      </w:r>
      <w:r w:rsidRPr="0048587E" w:rsidR="00D52E0A">
        <w:rPr>
          <w:rFonts w:asciiTheme="majorBidi" w:hAnsiTheme="majorBidi" w:cstheme="majorBidi"/>
          <w:i/>
          <w:iCs/>
          <w:sz w:val="26"/>
          <w:szCs w:val="26"/>
        </w:rPr>
        <w:t>Jackson v. Indiana</w:t>
      </w:r>
      <w:r w:rsidRPr="0048587E" w:rsidR="00D52E0A">
        <w:rPr>
          <w:rFonts w:asciiTheme="majorBidi" w:hAnsiTheme="majorBidi" w:cstheme="majorBidi"/>
          <w:sz w:val="26"/>
          <w:szCs w:val="26"/>
        </w:rPr>
        <w:t>, 406 U.S. 715, 738 (1972) (li</w:t>
      </w:r>
      <w:r w:rsidRPr="0048587E" w:rsidR="00F91549">
        <w:rPr>
          <w:rFonts w:asciiTheme="majorBidi" w:hAnsiTheme="majorBidi" w:cstheme="majorBidi"/>
          <w:sz w:val="26"/>
          <w:szCs w:val="26"/>
        </w:rPr>
        <w:t xml:space="preserve">miting period of detention to determine whether a defendant will become fit to stand trial in the foreseeable future); </w:t>
      </w:r>
      <w:r w:rsidRPr="0048587E" w:rsidR="00F91549">
        <w:rPr>
          <w:rFonts w:asciiTheme="majorBidi" w:hAnsiTheme="majorBidi" w:cstheme="majorBidi"/>
          <w:i/>
          <w:iCs/>
          <w:sz w:val="26"/>
          <w:szCs w:val="26"/>
        </w:rPr>
        <w:t>Otero v. Dart</w:t>
      </w:r>
      <w:r w:rsidRPr="0048587E" w:rsidR="00F91549">
        <w:rPr>
          <w:rFonts w:asciiTheme="majorBidi" w:hAnsiTheme="majorBidi" w:cstheme="majorBidi"/>
          <w:sz w:val="26"/>
          <w:szCs w:val="26"/>
        </w:rPr>
        <w:t>, 306 F.R.D. 197 (N.D. Ill. 2014) (granting class certification for challenge to detention for an unreasonable time following acquittal).</w:t>
      </w:r>
    </w:p>
    <w:p w:rsidRPr="0048587E" w:rsidR="002502A8" w:rsidP="002502A8" w:rsidRDefault="002502A8" w14:paraId="14379843" w14:textId="64CD25D3">
      <w:pPr>
        <w:widowControl w:val="0"/>
        <w:tabs>
          <w:tab w:val="left" w:pos="5040"/>
        </w:tabs>
        <w:spacing w:after="0" w:line="480" w:lineRule="auto"/>
        <w:jc w:val="center"/>
        <w:rPr>
          <w:rFonts w:asciiTheme="majorBidi" w:hAnsiTheme="majorBidi" w:cstheme="majorBidi"/>
          <w:b/>
          <w:sz w:val="26"/>
          <w:szCs w:val="26"/>
          <w:u w:val="single"/>
        </w:rPr>
      </w:pPr>
      <w:r w:rsidRPr="0048587E">
        <w:rPr>
          <w:rFonts w:asciiTheme="majorBidi" w:hAnsiTheme="majorBidi" w:cstheme="majorBidi"/>
          <w:b/>
          <w:sz w:val="26"/>
          <w:szCs w:val="26"/>
          <w:u w:val="single"/>
        </w:rPr>
        <w:t>CONCLUSION</w:t>
      </w:r>
    </w:p>
    <w:p w:rsidRPr="0048587E" w:rsidR="002502A8" w:rsidP="0001751F" w:rsidRDefault="002502A8" w14:paraId="545BA333" w14:textId="4A9C76A4">
      <w:pPr>
        <w:widowControl w:val="0"/>
        <w:tabs>
          <w:tab w:val="left" w:pos="5040"/>
        </w:tabs>
        <w:spacing w:after="0" w:line="480" w:lineRule="auto"/>
        <w:ind w:firstLine="720"/>
        <w:rPr>
          <w:rFonts w:asciiTheme="majorBidi" w:hAnsiTheme="majorBidi" w:cstheme="majorBidi"/>
          <w:sz w:val="26"/>
          <w:szCs w:val="26"/>
        </w:rPr>
      </w:pPr>
      <w:r w:rsidRPr="0048587E">
        <w:rPr>
          <w:rFonts w:asciiTheme="majorBidi" w:hAnsiTheme="majorBidi" w:cstheme="majorBidi"/>
          <w:sz w:val="26"/>
          <w:szCs w:val="26"/>
        </w:rPr>
        <w:t>For these reasons, and the reasons stated in the Petition, the Court should GRANT the Petition for Writ of Habeas Corpus</w:t>
      </w:r>
      <w:r w:rsidRPr="0048587E" w:rsidR="00F91549">
        <w:rPr>
          <w:rFonts w:asciiTheme="majorBidi" w:hAnsiTheme="majorBidi" w:cstheme="majorBidi"/>
          <w:sz w:val="26"/>
          <w:szCs w:val="26"/>
        </w:rPr>
        <w:t xml:space="preserve"> and order Petitioner’s immediate release or, in the alternative, a bond hearing </w:t>
      </w:r>
      <w:r w:rsidRPr="0048587E" w:rsidR="0048587E">
        <w:rPr>
          <w:rFonts w:asciiTheme="majorBidi" w:hAnsiTheme="majorBidi" w:cstheme="majorBidi"/>
          <w:sz w:val="26"/>
          <w:szCs w:val="26"/>
        </w:rPr>
        <w:t>which places the burden of proof on the government</w:t>
      </w:r>
      <w:r w:rsidRPr="0048587E">
        <w:rPr>
          <w:rFonts w:asciiTheme="majorBidi" w:hAnsiTheme="majorBidi" w:cstheme="majorBidi"/>
          <w:sz w:val="26"/>
          <w:szCs w:val="26"/>
        </w:rPr>
        <w:t>.</w:t>
      </w:r>
    </w:p>
    <w:p w:rsidRPr="0048587E" w:rsidR="003B05F8" w:rsidP="003E6896" w:rsidRDefault="00040E63" w14:paraId="117B2F5E" w14:textId="1270B711">
      <w:pPr>
        <w:widowControl w:val="0"/>
        <w:tabs>
          <w:tab w:val="left" w:pos="5040"/>
        </w:tabs>
        <w:spacing w:after="0" w:line="480" w:lineRule="auto"/>
        <w:rPr>
          <w:rFonts w:asciiTheme="majorBidi" w:hAnsiTheme="majorBidi" w:cstheme="majorBidi"/>
          <w:sz w:val="26"/>
          <w:szCs w:val="26"/>
        </w:rPr>
      </w:pPr>
      <w:r w:rsidRPr="0048587E">
        <w:rPr>
          <w:rFonts w:asciiTheme="majorBidi" w:hAnsiTheme="majorBidi" w:cstheme="majorBidi"/>
          <w:sz w:val="26"/>
          <w:szCs w:val="26"/>
        </w:rPr>
        <w:lastRenderedPageBreak/>
        <w:t xml:space="preserve">DATED: </w:t>
      </w:r>
      <w:r w:rsidRPr="0048587E" w:rsidR="00FC0481">
        <w:rPr>
          <w:rFonts w:asciiTheme="majorBidi" w:hAnsiTheme="majorBidi" w:cstheme="majorBidi"/>
          <w:sz w:val="26"/>
          <w:szCs w:val="26"/>
        </w:rPr>
        <w:t xml:space="preserve">November </w:t>
      </w:r>
      <w:r w:rsidRPr="0048587E" w:rsidR="008B73F4">
        <w:rPr>
          <w:rFonts w:asciiTheme="majorBidi" w:hAnsiTheme="majorBidi" w:cstheme="majorBidi"/>
          <w:sz w:val="26"/>
          <w:szCs w:val="26"/>
        </w:rPr>
        <w:t>23,</w:t>
      </w:r>
      <w:r w:rsidRPr="0048587E" w:rsidR="003B05F8">
        <w:rPr>
          <w:rFonts w:asciiTheme="majorBidi" w:hAnsiTheme="majorBidi" w:cstheme="majorBidi"/>
          <w:sz w:val="26"/>
          <w:szCs w:val="26"/>
        </w:rPr>
        <w:t xml:space="preserve"> 201</w:t>
      </w:r>
      <w:r w:rsidRPr="0048587E" w:rsidR="003B4004">
        <w:rPr>
          <w:rFonts w:asciiTheme="majorBidi" w:hAnsiTheme="majorBidi" w:cstheme="majorBidi"/>
          <w:sz w:val="26"/>
          <w:szCs w:val="26"/>
        </w:rPr>
        <w:t>8</w:t>
      </w:r>
      <w:r w:rsidRPr="0048587E" w:rsidR="00D40D84">
        <w:rPr>
          <w:rFonts w:asciiTheme="majorBidi" w:hAnsiTheme="majorBidi" w:cstheme="majorBidi"/>
          <w:sz w:val="26"/>
          <w:szCs w:val="26"/>
        </w:rPr>
        <w:tab/>
      </w:r>
      <w:r w:rsidRPr="0048587E" w:rsidR="00D40D84">
        <w:rPr>
          <w:rFonts w:asciiTheme="majorBidi" w:hAnsiTheme="majorBidi" w:cstheme="majorBidi"/>
          <w:sz w:val="26"/>
          <w:szCs w:val="26"/>
        </w:rPr>
        <w:t>Respectfully submitted,</w:t>
      </w:r>
    </w:p>
    <w:p w:rsidRPr="0048587E" w:rsidR="00AA0C42" w:rsidP="003E6896" w:rsidRDefault="00CD1772" w14:paraId="2B7C8826" w14:textId="40CBE4E8">
      <w:pPr>
        <w:widowControl w:val="0"/>
        <w:tabs>
          <w:tab w:val="left" w:pos="5040"/>
        </w:tabs>
        <w:spacing w:after="0" w:line="240" w:lineRule="auto"/>
        <w:ind w:left="4320" w:firstLine="720"/>
        <w:rPr>
          <w:rFonts w:asciiTheme="majorBidi" w:hAnsiTheme="majorBidi" w:cstheme="majorBidi"/>
          <w:sz w:val="26"/>
          <w:szCs w:val="26"/>
          <w:u w:val="single"/>
        </w:rPr>
      </w:pPr>
      <w:r w:rsidRPr="0048587E">
        <w:rPr>
          <w:rFonts w:asciiTheme="majorBidi" w:hAnsiTheme="majorBidi" w:cstheme="majorBidi"/>
          <w:sz w:val="26"/>
          <w:szCs w:val="26"/>
          <w:u w:val="single"/>
        </w:rPr>
        <w:t xml:space="preserve"> /s </w:t>
      </w:r>
      <w:r w:rsidRPr="0048587E">
        <w:rPr>
          <w:rFonts w:asciiTheme="majorBidi" w:hAnsiTheme="majorBidi" w:cstheme="majorBidi"/>
          <w:i/>
          <w:sz w:val="26"/>
          <w:szCs w:val="26"/>
          <w:u w:val="single"/>
        </w:rPr>
        <w:t>John Bruning</w:t>
      </w:r>
      <w:r w:rsidRPr="0048587E">
        <w:rPr>
          <w:rFonts w:asciiTheme="majorBidi" w:hAnsiTheme="majorBidi" w:cstheme="majorBidi"/>
          <w:i/>
          <w:sz w:val="26"/>
          <w:szCs w:val="26"/>
          <w:u w:val="single"/>
        </w:rPr>
        <w:tab/>
      </w:r>
      <w:r w:rsidRPr="0048587E" w:rsidR="00A100E8">
        <w:rPr>
          <w:rFonts w:asciiTheme="majorBidi" w:hAnsiTheme="majorBidi" w:cstheme="majorBidi"/>
          <w:sz w:val="26"/>
          <w:szCs w:val="26"/>
          <w:u w:val="single"/>
        </w:rPr>
        <w:tab/>
      </w:r>
      <w:r w:rsidRPr="0048587E" w:rsidR="00A100E8">
        <w:rPr>
          <w:rFonts w:asciiTheme="majorBidi" w:hAnsiTheme="majorBidi" w:cstheme="majorBidi"/>
          <w:sz w:val="26"/>
          <w:szCs w:val="26"/>
          <w:u w:val="single"/>
        </w:rPr>
        <w:tab/>
      </w:r>
      <w:r w:rsidRPr="0048587E" w:rsidR="00A100E8">
        <w:rPr>
          <w:rFonts w:asciiTheme="majorBidi" w:hAnsiTheme="majorBidi" w:cstheme="majorBidi"/>
          <w:sz w:val="26"/>
          <w:szCs w:val="26"/>
          <w:u w:val="single"/>
        </w:rPr>
        <w:tab/>
      </w:r>
    </w:p>
    <w:p w:rsidRPr="0048587E" w:rsidR="00990D1B" w:rsidP="003E6896" w:rsidRDefault="00AA0C42" w14:paraId="2E27715A" w14:textId="3A3454C6">
      <w:pPr>
        <w:widowControl w:val="0"/>
        <w:tabs>
          <w:tab w:val="left" w:pos="5040"/>
        </w:tabs>
        <w:spacing w:after="0" w:line="240" w:lineRule="auto"/>
        <w:rPr>
          <w:rFonts w:asciiTheme="majorBidi" w:hAnsiTheme="majorBidi" w:cstheme="majorBidi"/>
          <w:sz w:val="26"/>
          <w:szCs w:val="26"/>
        </w:rPr>
      </w:pPr>
      <w:r w:rsidRPr="0048587E">
        <w:rPr>
          <w:rFonts w:asciiTheme="majorBidi" w:hAnsiTheme="majorBidi" w:cstheme="majorBidi"/>
          <w:sz w:val="26"/>
          <w:szCs w:val="26"/>
        </w:rPr>
        <w:tab/>
      </w:r>
      <w:r w:rsidRPr="0048587E" w:rsidR="00A100E8">
        <w:rPr>
          <w:rFonts w:asciiTheme="majorBidi" w:hAnsiTheme="majorBidi" w:cstheme="majorBidi"/>
          <w:sz w:val="26"/>
          <w:szCs w:val="26"/>
        </w:rPr>
        <w:t>John Bruning</w:t>
      </w:r>
      <w:r w:rsidRPr="0048587E" w:rsidR="003B05F8">
        <w:rPr>
          <w:rFonts w:asciiTheme="majorBidi" w:hAnsiTheme="majorBidi" w:cstheme="majorBidi"/>
          <w:sz w:val="26"/>
          <w:szCs w:val="26"/>
        </w:rPr>
        <w:t xml:space="preserve"> </w:t>
      </w:r>
      <w:r w:rsidRPr="0048587E" w:rsidR="00A100E8">
        <w:rPr>
          <w:rFonts w:asciiTheme="majorBidi" w:hAnsiTheme="majorBidi" w:cstheme="majorBidi"/>
          <w:sz w:val="26"/>
          <w:szCs w:val="26"/>
        </w:rPr>
        <w:t>#399174</w:t>
      </w:r>
    </w:p>
    <w:p w:rsidRPr="0048587E" w:rsidR="00AA0C42" w:rsidP="003E6896" w:rsidRDefault="00AA0C42" w14:paraId="3EA47343" w14:textId="77777777">
      <w:pPr>
        <w:widowControl w:val="0"/>
        <w:tabs>
          <w:tab w:val="left" w:pos="5040"/>
        </w:tabs>
        <w:spacing w:after="0" w:line="240" w:lineRule="auto"/>
        <w:rPr>
          <w:rFonts w:asciiTheme="majorBidi" w:hAnsiTheme="majorBidi" w:cstheme="majorBidi"/>
          <w:sz w:val="26"/>
          <w:szCs w:val="26"/>
        </w:rPr>
      </w:pPr>
      <w:r w:rsidRPr="0048587E">
        <w:rPr>
          <w:rFonts w:asciiTheme="majorBidi" w:hAnsiTheme="majorBidi" w:cstheme="majorBidi"/>
          <w:sz w:val="26"/>
          <w:szCs w:val="26"/>
        </w:rPr>
        <w:tab/>
      </w:r>
      <w:r w:rsidRPr="0048587E">
        <w:rPr>
          <w:rFonts w:asciiTheme="majorBidi" w:hAnsiTheme="majorBidi" w:cstheme="majorBidi"/>
          <w:sz w:val="26"/>
          <w:szCs w:val="26"/>
        </w:rPr>
        <w:t>KIM HUNTER LAW</w:t>
      </w:r>
      <w:r w:rsidRPr="0048587E" w:rsidR="003730CC">
        <w:rPr>
          <w:rFonts w:asciiTheme="majorBidi" w:hAnsiTheme="majorBidi" w:cstheme="majorBidi"/>
          <w:sz w:val="26"/>
          <w:szCs w:val="26"/>
        </w:rPr>
        <w:t>, P.L.L.C.</w:t>
      </w:r>
    </w:p>
    <w:p w:rsidRPr="0048587E" w:rsidR="00AA0C42" w:rsidP="003E6896" w:rsidRDefault="00AA0C42" w14:paraId="45E698F9" w14:textId="77777777">
      <w:pPr>
        <w:widowControl w:val="0"/>
        <w:tabs>
          <w:tab w:val="left" w:pos="5040"/>
        </w:tabs>
        <w:spacing w:after="0" w:line="240" w:lineRule="auto"/>
        <w:rPr>
          <w:rFonts w:asciiTheme="majorBidi" w:hAnsiTheme="majorBidi" w:cstheme="majorBidi"/>
          <w:sz w:val="26"/>
          <w:szCs w:val="26"/>
        </w:rPr>
      </w:pPr>
      <w:r w:rsidRPr="0048587E">
        <w:rPr>
          <w:rFonts w:asciiTheme="majorBidi" w:hAnsiTheme="majorBidi" w:cstheme="majorBidi"/>
          <w:sz w:val="26"/>
          <w:szCs w:val="26"/>
        </w:rPr>
        <w:tab/>
      </w:r>
      <w:r w:rsidRPr="0048587E">
        <w:rPr>
          <w:rFonts w:asciiTheme="majorBidi" w:hAnsiTheme="majorBidi" w:cstheme="majorBidi"/>
          <w:sz w:val="26"/>
          <w:szCs w:val="26"/>
        </w:rPr>
        <w:t>656 Selby Avenue, Suite 100</w:t>
      </w:r>
    </w:p>
    <w:p w:rsidRPr="0048587E" w:rsidR="00AA0C42" w:rsidP="003E6896" w:rsidRDefault="00AA0C42" w14:paraId="3A8754CF" w14:textId="77777777">
      <w:pPr>
        <w:widowControl w:val="0"/>
        <w:tabs>
          <w:tab w:val="left" w:pos="5040"/>
        </w:tabs>
        <w:spacing w:after="0" w:line="240" w:lineRule="auto"/>
        <w:rPr>
          <w:rFonts w:asciiTheme="majorBidi" w:hAnsiTheme="majorBidi" w:cstheme="majorBidi"/>
          <w:sz w:val="26"/>
          <w:szCs w:val="26"/>
        </w:rPr>
      </w:pPr>
      <w:r w:rsidRPr="0048587E">
        <w:rPr>
          <w:rFonts w:asciiTheme="majorBidi" w:hAnsiTheme="majorBidi" w:cstheme="majorBidi"/>
          <w:sz w:val="26"/>
          <w:szCs w:val="26"/>
        </w:rPr>
        <w:tab/>
      </w:r>
      <w:r w:rsidRPr="0048587E">
        <w:rPr>
          <w:rFonts w:asciiTheme="majorBidi" w:hAnsiTheme="majorBidi" w:cstheme="majorBidi"/>
          <w:sz w:val="26"/>
          <w:szCs w:val="26"/>
        </w:rPr>
        <w:t>St. Paul, MN 55104</w:t>
      </w:r>
    </w:p>
    <w:p w:rsidRPr="0048587E" w:rsidR="00AA0C42" w:rsidP="003E6896" w:rsidRDefault="00AA0C42" w14:paraId="74CD668F" w14:textId="77777777">
      <w:pPr>
        <w:widowControl w:val="0"/>
        <w:tabs>
          <w:tab w:val="left" w:pos="5040"/>
        </w:tabs>
        <w:spacing w:after="0" w:line="240" w:lineRule="auto"/>
        <w:rPr>
          <w:rFonts w:asciiTheme="majorBidi" w:hAnsiTheme="majorBidi" w:cstheme="majorBidi"/>
          <w:sz w:val="26"/>
          <w:szCs w:val="26"/>
        </w:rPr>
      </w:pPr>
      <w:r w:rsidRPr="0048587E">
        <w:rPr>
          <w:rFonts w:asciiTheme="majorBidi" w:hAnsiTheme="majorBidi" w:cstheme="majorBidi"/>
          <w:sz w:val="26"/>
          <w:szCs w:val="26"/>
        </w:rPr>
        <w:tab/>
      </w:r>
      <w:r w:rsidRPr="0048587E" w:rsidR="00A100E8">
        <w:rPr>
          <w:rFonts w:asciiTheme="majorBidi" w:hAnsiTheme="majorBidi" w:cstheme="majorBidi"/>
          <w:sz w:val="26"/>
          <w:szCs w:val="26"/>
        </w:rPr>
        <w:t xml:space="preserve">P: </w:t>
      </w:r>
      <w:r w:rsidRPr="0048587E">
        <w:rPr>
          <w:rFonts w:asciiTheme="majorBidi" w:hAnsiTheme="majorBidi" w:cstheme="majorBidi"/>
          <w:sz w:val="26"/>
          <w:szCs w:val="26"/>
        </w:rPr>
        <w:t>(651) 641-0440</w:t>
      </w:r>
    </w:p>
    <w:p w:rsidRPr="0048587E" w:rsidR="002D2BE3" w:rsidP="002D2BE3" w:rsidRDefault="00A100E8" w14:paraId="06E4623B" w14:textId="77777777">
      <w:pPr>
        <w:widowControl w:val="0"/>
        <w:tabs>
          <w:tab w:val="left" w:pos="5040"/>
        </w:tabs>
        <w:spacing w:after="0" w:line="240" w:lineRule="auto"/>
        <w:rPr>
          <w:rFonts w:asciiTheme="majorBidi" w:hAnsiTheme="majorBidi" w:cstheme="majorBidi"/>
          <w:sz w:val="26"/>
          <w:szCs w:val="26"/>
        </w:rPr>
      </w:pPr>
      <w:r w:rsidRPr="0048587E">
        <w:rPr>
          <w:rFonts w:asciiTheme="majorBidi" w:hAnsiTheme="majorBidi" w:cstheme="majorBidi"/>
          <w:sz w:val="26"/>
          <w:szCs w:val="26"/>
        </w:rPr>
        <w:tab/>
      </w:r>
      <w:r w:rsidRPr="0048587E">
        <w:rPr>
          <w:rFonts w:asciiTheme="majorBidi" w:hAnsiTheme="majorBidi" w:cstheme="majorBidi"/>
          <w:sz w:val="26"/>
          <w:szCs w:val="26"/>
        </w:rPr>
        <w:t>F: 651-379-0595</w:t>
      </w:r>
      <w:bookmarkEnd w:id="2"/>
    </w:p>
    <w:p w:rsidRPr="0048587E" w:rsidR="003B05F8" w:rsidP="003B05F8" w:rsidRDefault="003B05F8" w14:paraId="029922AA" w14:textId="77777777">
      <w:pPr>
        <w:widowControl w:val="0"/>
        <w:tabs>
          <w:tab w:val="left" w:pos="5040"/>
        </w:tabs>
        <w:spacing w:after="0" w:line="240" w:lineRule="auto"/>
        <w:rPr>
          <w:rFonts w:asciiTheme="majorBidi" w:hAnsiTheme="majorBidi" w:cstheme="majorBidi"/>
          <w:sz w:val="26"/>
          <w:szCs w:val="26"/>
        </w:rPr>
      </w:pPr>
      <w:r w:rsidRPr="0048587E">
        <w:rPr>
          <w:rFonts w:asciiTheme="majorBidi" w:hAnsiTheme="majorBidi" w:cstheme="majorBidi"/>
          <w:sz w:val="26"/>
          <w:szCs w:val="26"/>
        </w:rPr>
        <w:tab/>
      </w:r>
      <w:r w:rsidRPr="0048587E">
        <w:rPr>
          <w:rFonts w:asciiTheme="majorBidi" w:hAnsiTheme="majorBidi" w:cstheme="majorBidi"/>
          <w:sz w:val="26"/>
          <w:szCs w:val="26"/>
        </w:rPr>
        <w:t>john@kimhunterlaw.com</w:t>
      </w:r>
    </w:p>
    <w:p w:rsidRPr="0048587E" w:rsidR="003B05F8" w:rsidP="003B05F8" w:rsidRDefault="003B05F8" w14:paraId="47D39432" w14:textId="77777777">
      <w:pPr>
        <w:widowControl w:val="0"/>
        <w:tabs>
          <w:tab w:val="left" w:pos="5040"/>
        </w:tabs>
        <w:spacing w:after="0" w:line="240" w:lineRule="auto"/>
        <w:rPr>
          <w:rFonts w:asciiTheme="majorBidi" w:hAnsiTheme="majorBidi" w:cstheme="majorBidi"/>
          <w:sz w:val="26"/>
          <w:szCs w:val="26"/>
        </w:rPr>
      </w:pPr>
    </w:p>
    <w:p w:rsidRPr="0048587E" w:rsidR="003B05F8" w:rsidP="003B05F8" w:rsidRDefault="003B05F8" w14:paraId="1AE9241A" w14:textId="77777777">
      <w:pPr>
        <w:widowControl w:val="0"/>
        <w:tabs>
          <w:tab w:val="left" w:pos="5040"/>
        </w:tabs>
        <w:spacing w:after="0" w:line="240" w:lineRule="auto"/>
        <w:rPr>
          <w:rFonts w:asciiTheme="majorBidi" w:hAnsiTheme="majorBidi" w:cstheme="majorBidi"/>
          <w:i/>
          <w:sz w:val="26"/>
          <w:szCs w:val="26"/>
        </w:rPr>
      </w:pPr>
      <w:r w:rsidRPr="0048587E">
        <w:rPr>
          <w:rFonts w:asciiTheme="majorBidi" w:hAnsiTheme="majorBidi" w:cstheme="majorBidi"/>
          <w:i/>
          <w:sz w:val="26"/>
          <w:szCs w:val="26"/>
        </w:rPr>
        <w:tab/>
      </w:r>
      <w:r w:rsidRPr="0048587E">
        <w:rPr>
          <w:rFonts w:asciiTheme="majorBidi" w:hAnsiTheme="majorBidi" w:cstheme="majorBidi"/>
          <w:i/>
          <w:sz w:val="26"/>
          <w:szCs w:val="26"/>
        </w:rPr>
        <w:t>Attorney for Petitioner</w:t>
      </w:r>
    </w:p>
    <w:p w:rsidRPr="0048587E" w:rsidR="003B05F8" w:rsidP="002D2BE3" w:rsidRDefault="003B05F8" w14:paraId="7D1AAD11" w14:textId="77777777">
      <w:pPr>
        <w:widowControl w:val="0"/>
        <w:tabs>
          <w:tab w:val="left" w:pos="5040"/>
        </w:tabs>
        <w:spacing w:after="0" w:line="240" w:lineRule="auto"/>
        <w:rPr>
          <w:rFonts w:asciiTheme="majorBidi" w:hAnsiTheme="majorBidi" w:cstheme="majorBidi"/>
          <w:sz w:val="26"/>
          <w:szCs w:val="26"/>
        </w:rPr>
      </w:pPr>
    </w:p>
    <w:sectPr w:rsidRPr="0048587E" w:rsidR="003B05F8">
      <w:headerReference w:type="default" r:id="rId8"/>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32E" w:rsidP="00CF6A5E" w:rsidRDefault="006B132E" w14:paraId="34BEEBE1" w14:textId="77777777">
      <w:pPr>
        <w:spacing w:after="0" w:line="240" w:lineRule="auto"/>
      </w:pPr>
      <w:r>
        <w:separator/>
      </w:r>
    </w:p>
  </w:endnote>
  <w:endnote w:type="continuationSeparator" w:id="0">
    <w:p w:rsidR="006B132E" w:rsidP="00CF6A5E" w:rsidRDefault="006B132E" w14:paraId="13E872BF" w14:textId="77777777">
      <w:pPr>
        <w:spacing w:after="0" w:line="240" w:lineRule="auto"/>
      </w:pPr>
      <w:r>
        <w:continuationSeparator/>
      </w:r>
    </w:p>
  </w:endnote>
  <w:endnote w:type="continuationNotice" w:id="1">
    <w:p w:rsidR="006B132E" w:rsidRDefault="006B132E" w14:paraId="68D7072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B32BD3" w:rsidR="006B132E" w:rsidP="00CF6A5E" w:rsidRDefault="006B132E" w14:paraId="517F936D" w14:textId="4E4FCB22">
    <w:pPr>
      <w:pStyle w:val="Footer"/>
      <w:jc w:val="center"/>
      <w:rPr>
        <w:rFonts w:ascii="Times New Roman" w:hAnsi="Times New Roman" w:cs="Times New Roman"/>
        <w:sz w:val="24"/>
        <w:szCs w:val="24"/>
      </w:rPr>
    </w:pPr>
    <w:r w:rsidRPr="00B32BD3">
      <w:rPr>
        <w:rFonts w:ascii="Times New Roman" w:hAnsi="Times New Roman" w:cs="Times New Roman"/>
        <w:sz w:val="24"/>
        <w:szCs w:val="24"/>
      </w:rPr>
      <w:fldChar w:fldCharType="begin"/>
    </w:r>
    <w:r w:rsidRPr="00B32BD3">
      <w:rPr>
        <w:rFonts w:ascii="Times New Roman" w:hAnsi="Times New Roman" w:cs="Times New Roman"/>
        <w:sz w:val="24"/>
        <w:szCs w:val="24"/>
      </w:rPr>
      <w:instrText xml:space="preserve"> PAGE   \* MERGEFORMAT </w:instrText>
    </w:r>
    <w:r w:rsidRPr="00B32BD3">
      <w:rPr>
        <w:rFonts w:ascii="Times New Roman" w:hAnsi="Times New Roman" w:cs="Times New Roman"/>
        <w:sz w:val="24"/>
        <w:szCs w:val="24"/>
      </w:rPr>
      <w:fldChar w:fldCharType="separate"/>
    </w:r>
    <w:r>
      <w:rPr>
        <w:rFonts w:ascii="Times New Roman" w:hAnsi="Times New Roman" w:cs="Times New Roman"/>
        <w:noProof/>
        <w:sz w:val="24"/>
        <w:szCs w:val="24"/>
      </w:rPr>
      <w:t>27</w:t>
    </w:r>
    <w:r w:rsidRPr="00B32BD3">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32E" w:rsidP="00CF6A5E" w:rsidRDefault="006B132E" w14:paraId="37DF3725" w14:textId="77777777">
      <w:pPr>
        <w:spacing w:after="0" w:line="240" w:lineRule="auto"/>
      </w:pPr>
      <w:r>
        <w:separator/>
      </w:r>
    </w:p>
  </w:footnote>
  <w:footnote w:type="continuationSeparator" w:id="0">
    <w:p w:rsidR="006B132E" w:rsidP="00CF6A5E" w:rsidRDefault="006B132E" w14:paraId="5F92F0F7" w14:textId="77777777">
      <w:pPr>
        <w:spacing w:after="0" w:line="240" w:lineRule="auto"/>
      </w:pPr>
      <w:r>
        <w:continuationSeparator/>
      </w:r>
    </w:p>
  </w:footnote>
  <w:footnote w:type="continuationNotice" w:id="1">
    <w:p w:rsidR="006B132E" w:rsidRDefault="006B132E" w14:paraId="7868AE09" w14:textId="77777777">
      <w:pPr>
        <w:spacing w:after="0" w:line="240" w:lineRule="auto"/>
      </w:pPr>
    </w:p>
  </w:footnote>
  <w:footnote w:id="2">
    <w:p w:rsidRPr="00D52E0A" w:rsidR="0027083B" w:rsidRDefault="0027083B" w14:paraId="4D6025F3" w14:textId="36E245BB">
      <w:pPr>
        <w:pStyle w:val="FootnoteText"/>
        <w:rPr>
          <w:rFonts w:asciiTheme="majorBidi" w:hAnsiTheme="majorBidi" w:cstheme="majorBidi"/>
          <w:sz w:val="26"/>
          <w:szCs w:val="26"/>
        </w:rPr>
      </w:pPr>
      <w:r w:rsidRPr="00D52E0A">
        <w:rPr>
          <w:rStyle w:val="FootnoteReference"/>
          <w:rFonts w:asciiTheme="majorBidi" w:hAnsiTheme="majorBidi" w:cstheme="majorBidi"/>
          <w:sz w:val="26"/>
          <w:szCs w:val="26"/>
        </w:rPr>
        <w:footnoteRef/>
      </w:r>
      <w:r w:rsidRPr="00D52E0A">
        <w:rPr>
          <w:rFonts w:asciiTheme="majorBidi" w:hAnsiTheme="majorBidi" w:cstheme="majorBidi"/>
          <w:sz w:val="26"/>
          <w:szCs w:val="26"/>
        </w:rPr>
        <w:t xml:space="preserve"> As noted in the Petition, the IJ issued a written order because of DHS’s unequivocal intent to appeal any grant of relief.</w:t>
      </w:r>
    </w:p>
  </w:footnote>
  <w:footnote w:id="3">
    <w:p w:rsidRPr="00D52E0A" w:rsidR="003F28DA" w:rsidP="00951FB9" w:rsidRDefault="003F28DA" w14:paraId="66CECD33" w14:textId="577A789E">
      <w:pPr>
        <w:rPr>
          <w:rFonts w:asciiTheme="majorBidi" w:hAnsiTheme="majorBidi" w:cstheme="majorBidi"/>
          <w:sz w:val="26"/>
          <w:szCs w:val="26"/>
        </w:rPr>
      </w:pPr>
      <w:r w:rsidRPr="00D52E0A">
        <w:rPr>
          <w:rStyle w:val="FootnoteReference"/>
          <w:rFonts w:asciiTheme="majorBidi" w:hAnsiTheme="majorBidi" w:cstheme="majorBidi"/>
          <w:sz w:val="26"/>
          <w:szCs w:val="26"/>
        </w:rPr>
        <w:footnoteRef/>
      </w:r>
      <w:r w:rsidRPr="00D52E0A">
        <w:rPr>
          <w:rFonts w:asciiTheme="majorBidi" w:hAnsiTheme="majorBidi" w:cstheme="majorBidi"/>
          <w:sz w:val="26"/>
          <w:szCs w:val="26"/>
        </w:rPr>
        <w:t xml:space="preserve"> Petitioner is troubled by the Respondents’ overt criticisms of the </w:t>
      </w:r>
      <w:r w:rsidRPr="00D52E0A">
        <w:rPr>
          <w:rFonts w:asciiTheme="majorBidi" w:hAnsiTheme="majorBidi" w:cstheme="majorBidi"/>
          <w:i/>
          <w:iCs/>
          <w:sz w:val="26"/>
          <w:szCs w:val="26"/>
        </w:rPr>
        <w:t xml:space="preserve">Muse </w:t>
      </w:r>
      <w:r w:rsidRPr="00D52E0A">
        <w:rPr>
          <w:rFonts w:asciiTheme="majorBidi" w:hAnsiTheme="majorBidi" w:cstheme="majorBidi"/>
          <w:sz w:val="26"/>
          <w:szCs w:val="26"/>
        </w:rPr>
        <w:t xml:space="preserve">decision, especially </w:t>
      </w:r>
      <w:proofErr w:type="gramStart"/>
      <w:r w:rsidRPr="00D52E0A">
        <w:rPr>
          <w:rFonts w:asciiTheme="majorBidi" w:hAnsiTheme="majorBidi" w:cstheme="majorBidi"/>
          <w:sz w:val="26"/>
          <w:szCs w:val="26"/>
        </w:rPr>
        <w:t>in light of</w:t>
      </w:r>
      <w:proofErr w:type="gramEnd"/>
      <w:r w:rsidRPr="00D52E0A">
        <w:rPr>
          <w:rFonts w:asciiTheme="majorBidi" w:hAnsiTheme="majorBidi" w:cstheme="majorBidi"/>
          <w:sz w:val="26"/>
          <w:szCs w:val="26"/>
        </w:rPr>
        <w:t xml:space="preserve"> comments made by President Trump and his administration in recent days.  </w:t>
      </w:r>
      <w:r w:rsidRPr="00D52E0A">
        <w:rPr>
          <w:rFonts w:asciiTheme="majorBidi" w:hAnsiTheme="majorBidi" w:cstheme="majorBidi"/>
          <w:i/>
          <w:iCs/>
          <w:sz w:val="26"/>
          <w:szCs w:val="26"/>
        </w:rPr>
        <w:t xml:space="preserve">See </w:t>
      </w:r>
      <w:r w:rsidRPr="00D52E0A">
        <w:rPr>
          <w:rFonts w:asciiTheme="majorBidi" w:hAnsiTheme="majorBidi" w:cstheme="majorBidi"/>
          <w:sz w:val="26"/>
          <w:szCs w:val="26"/>
        </w:rPr>
        <w:t>Michael Burke, “Trump Dispute with Roberts Spills Over Into Thanksgiving,” The Hill (Nov. 22, 2018), https://thehill.com/homenews/administration/418004-trump-dispute-with-roberts-spills-over-into-thanksgiving; Bob Carlson, ABA President</w:t>
      </w:r>
      <w:r w:rsidRPr="00D52E0A" w:rsidR="00951FB9">
        <w:rPr>
          <w:rFonts w:asciiTheme="majorBidi" w:hAnsiTheme="majorBidi" w:cstheme="majorBidi"/>
          <w:sz w:val="26"/>
          <w:szCs w:val="26"/>
        </w:rPr>
        <w:t xml:space="preserve">, “Being Thankful for Judicial Independence,” Am. Bar </w:t>
      </w:r>
      <w:proofErr w:type="spellStart"/>
      <w:r w:rsidRPr="00D52E0A" w:rsidR="00951FB9">
        <w:rPr>
          <w:rFonts w:asciiTheme="majorBidi" w:hAnsiTheme="majorBidi" w:cstheme="majorBidi"/>
          <w:sz w:val="26"/>
          <w:szCs w:val="26"/>
        </w:rPr>
        <w:t>Ass’n</w:t>
      </w:r>
      <w:proofErr w:type="spellEnd"/>
      <w:r w:rsidRPr="00D52E0A" w:rsidR="00951FB9">
        <w:rPr>
          <w:rFonts w:asciiTheme="majorBidi" w:hAnsiTheme="majorBidi" w:cstheme="majorBidi"/>
          <w:sz w:val="26"/>
          <w:szCs w:val="26"/>
        </w:rPr>
        <w:t xml:space="preserve"> (Nov. 21, 2018), https://www.americanbar.org/news/abanews/aba-news-archives/2018/11/statement-of-bob-carlson--aba-president-re--being-thankful-for-j/ (“Disagreeing with a court’s decision is everyone’s right, but when government officials question a court’s motives, mock its legitimacy or threaten retaliation due to an unfavorable ruling, they intend to erode the court’s standing and hinder the courts from performing their constitutional duties.”).</w:t>
      </w:r>
    </w:p>
  </w:footnote>
  <w:footnote w:id="4">
    <w:p w:rsidRPr="00D52E0A" w:rsidR="003F28DA" w:rsidRDefault="003F28DA" w14:paraId="6879BF89" w14:textId="5E012793">
      <w:pPr>
        <w:pStyle w:val="FootnoteText"/>
        <w:rPr>
          <w:rFonts w:asciiTheme="majorBidi" w:hAnsiTheme="majorBidi" w:cstheme="majorBidi"/>
          <w:sz w:val="26"/>
          <w:szCs w:val="26"/>
        </w:rPr>
      </w:pPr>
      <w:r w:rsidRPr="00D52E0A">
        <w:rPr>
          <w:rStyle w:val="FootnoteReference"/>
          <w:rFonts w:asciiTheme="majorBidi" w:hAnsiTheme="majorBidi" w:cstheme="majorBidi"/>
          <w:sz w:val="26"/>
          <w:szCs w:val="26"/>
        </w:rPr>
        <w:footnoteRef/>
      </w:r>
      <w:r w:rsidRPr="00D52E0A">
        <w:rPr>
          <w:rFonts w:asciiTheme="majorBidi" w:hAnsiTheme="majorBidi" w:cstheme="majorBidi"/>
          <w:sz w:val="26"/>
          <w:szCs w:val="26"/>
        </w:rPr>
        <w:t xml:space="preserve"> Petitioner points out that the same claims Respondents make here—that the “one continuance” Petitioner sought and the delay by the Immigration Court justify indefinite detention [Docket No. 8 at 28]—were also made by Respondents in Mr. Muse’s case, and properly rejected by the Court.</w:t>
      </w:r>
    </w:p>
  </w:footnote>
  <w:footnote w:id="5">
    <w:p w:rsidRPr="00D52E0A" w:rsidR="00951FB9" w:rsidRDefault="00951FB9" w14:paraId="431F52F8" w14:textId="1E5296D4">
      <w:pPr>
        <w:pStyle w:val="FootnoteText"/>
        <w:rPr>
          <w:sz w:val="26"/>
          <w:szCs w:val="26"/>
        </w:rPr>
      </w:pPr>
      <w:r w:rsidRPr="00D52E0A">
        <w:rPr>
          <w:rStyle w:val="FootnoteReference"/>
          <w:sz w:val="26"/>
          <w:szCs w:val="26"/>
        </w:rPr>
        <w:footnoteRef/>
      </w:r>
      <w:r w:rsidRPr="00D52E0A">
        <w:rPr>
          <w:sz w:val="26"/>
          <w:szCs w:val="26"/>
        </w:rPr>
        <w:t xml:space="preserve"> The Guantanamo line of cases firmly establishes that, no matter what an individual has done or is accused of doing, that does not cut off due process review of their detention.  </w:t>
      </w:r>
      <w:r w:rsidRPr="00D52E0A">
        <w:rPr>
          <w:i/>
          <w:iCs/>
          <w:sz w:val="26"/>
          <w:szCs w:val="26"/>
        </w:rPr>
        <w:t>See Hamdi v. Rumsfeld</w:t>
      </w:r>
      <w:r w:rsidRPr="00D52E0A">
        <w:rPr>
          <w:sz w:val="26"/>
          <w:szCs w:val="26"/>
        </w:rPr>
        <w:t xml:space="preserve">, 542 U.S. 507 (2004); </w:t>
      </w:r>
      <w:r w:rsidRPr="00D52E0A">
        <w:rPr>
          <w:i/>
          <w:iCs/>
          <w:sz w:val="26"/>
          <w:szCs w:val="26"/>
        </w:rPr>
        <w:t xml:space="preserve">see also </w:t>
      </w:r>
      <w:proofErr w:type="spellStart"/>
      <w:r w:rsidRPr="00D52E0A" w:rsidR="00003654">
        <w:rPr>
          <w:i/>
          <w:iCs/>
          <w:sz w:val="26"/>
          <w:szCs w:val="26"/>
        </w:rPr>
        <w:t>Zadvydas</w:t>
      </w:r>
      <w:proofErr w:type="spellEnd"/>
      <w:r w:rsidRPr="00D52E0A" w:rsidR="00003654">
        <w:rPr>
          <w:i/>
          <w:iCs/>
          <w:sz w:val="26"/>
          <w:szCs w:val="26"/>
        </w:rPr>
        <w:t xml:space="preserve"> v. Davis</w:t>
      </w:r>
      <w:r w:rsidRPr="00D52E0A" w:rsidR="00003654">
        <w:rPr>
          <w:sz w:val="26"/>
          <w:szCs w:val="26"/>
        </w:rPr>
        <w:t xml:space="preserve">, 533 U.S. 678, 684 (2001) (discussing </w:t>
      </w:r>
      <w:proofErr w:type="spellStart"/>
      <w:r w:rsidRPr="00D52E0A" w:rsidR="00003654">
        <w:rPr>
          <w:sz w:val="26"/>
          <w:szCs w:val="26"/>
        </w:rPr>
        <w:t>Zadvydas</w:t>
      </w:r>
      <w:proofErr w:type="spellEnd"/>
      <w:r w:rsidRPr="00D52E0A" w:rsidR="00003654">
        <w:rPr>
          <w:sz w:val="26"/>
          <w:szCs w:val="26"/>
        </w:rPr>
        <w:t>’ “long criminal record, involving drug crimes, attempted robbery, attempted burglary, and theft.  He has a history of flight, from both criminal and deportation proceedings.”).</w:t>
      </w:r>
    </w:p>
  </w:footnote>
  <w:footnote w:id="6">
    <w:p w:rsidRPr="00D52E0A" w:rsidR="00310347" w:rsidRDefault="00310347" w14:paraId="39A10362" w14:textId="02FC2481">
      <w:pPr>
        <w:pStyle w:val="FootnoteText"/>
        <w:rPr>
          <w:sz w:val="26"/>
          <w:szCs w:val="26"/>
        </w:rPr>
      </w:pPr>
      <w:r w:rsidRPr="00D52E0A">
        <w:rPr>
          <w:rStyle w:val="FootnoteReference"/>
          <w:sz w:val="26"/>
          <w:szCs w:val="26"/>
        </w:rPr>
        <w:footnoteRef/>
      </w:r>
      <w:r w:rsidRPr="00D52E0A">
        <w:rPr>
          <w:sz w:val="26"/>
          <w:szCs w:val="26"/>
        </w:rPr>
        <w:t xml:space="preserve"> The Ninth Circuit tangentially addressed this over a decade ago in </w:t>
      </w:r>
      <w:r w:rsidRPr="00D52E0A">
        <w:rPr>
          <w:i/>
          <w:iCs/>
          <w:sz w:val="26"/>
          <w:szCs w:val="26"/>
        </w:rPr>
        <w:t>Nadarajah v. Gonzales</w:t>
      </w:r>
      <w:r w:rsidRPr="00D52E0A">
        <w:rPr>
          <w:sz w:val="26"/>
          <w:szCs w:val="26"/>
        </w:rPr>
        <w:t xml:space="preserve">, 443 F.3d 1069 (9th Cir. 2006), but that decision was not enough to limit the government’s actions now.  Just last month, immigration attorneys uncovered a memorandum from the DHS Principal Legal Advisor to all DHS attorneys, directing the agency to appeal in virtually every case involving a detained noncitizen or noncitizen with a criminal record.  Tracy Short, Principal Legal Advisor, ICE, Guidance to OPLA Attorneys Regarding the Implementation of the President’s Executive Orders and the Secretary’s Directives on Immigration Enforcement at 7 (Aug. 15, 2017), available at https://www.aila.org/infonet/ice-guidance-opla-immigration-enforcement (“In particular, appeal should be reserved in cases involving detained aliens [and] criminal aliens . . . absent clear statutory or precedential basis for not appealing, or a determination that the facts of the individual case may adversely impact . . . the overall development of the law.”).  Even where “no legally viable basis for appeal exists,” the memo gives attorneys the option to appeal.  </w:t>
      </w:r>
      <w:r w:rsidRPr="00D52E0A">
        <w:rPr>
          <w:i/>
          <w:iCs/>
          <w:sz w:val="26"/>
          <w:szCs w:val="26"/>
        </w:rPr>
        <w:t>Id.</w:t>
      </w:r>
      <w:r w:rsidRPr="00D52E0A">
        <w:rPr>
          <w:sz w:val="26"/>
          <w:szCs w:val="26"/>
        </w:rPr>
        <w:t xml:space="preserve">  </w:t>
      </w:r>
      <w:r w:rsidRPr="00D52E0A" w:rsidR="00D52E0A">
        <w:rPr>
          <w:sz w:val="26"/>
          <w:szCs w:val="26"/>
        </w:rPr>
        <w:t xml:space="preserve">Locally, this has resulted in a significant number of noncitizens—particularly Somalis and other Africans and Middle Easterners—subject to § 1226(c) who have had relief granted having their detention prolonged as DHS pursues appeals.  </w:t>
      </w:r>
      <w:proofErr w:type="gramStart"/>
      <w:r w:rsidRPr="00D52E0A" w:rsidR="00D52E0A">
        <w:rPr>
          <w:sz w:val="26"/>
          <w:szCs w:val="26"/>
        </w:rPr>
        <w:t>A number of</w:t>
      </w:r>
      <w:proofErr w:type="gramEnd"/>
      <w:r w:rsidRPr="00D52E0A" w:rsidR="00D52E0A">
        <w:rPr>
          <w:sz w:val="26"/>
          <w:szCs w:val="26"/>
        </w:rPr>
        <w:t xml:space="preserve"> attorneys now have been told by DHS counsel that they will appeal any grant of relief, regardless of the merits.  </w:t>
      </w:r>
      <w:r w:rsidRPr="00D52E0A" w:rsidR="00D52E0A">
        <w:rPr>
          <w:i/>
          <w:iCs/>
          <w:sz w:val="26"/>
          <w:szCs w:val="26"/>
        </w:rPr>
        <w:t>See</w:t>
      </w:r>
      <w:r w:rsidRPr="00D52E0A" w:rsidR="00D52E0A">
        <w:rPr>
          <w:sz w:val="26"/>
          <w:szCs w:val="26"/>
        </w:rPr>
        <w:t xml:space="preserve"> Petition, </w:t>
      </w:r>
      <w:r w:rsidRPr="00D52E0A" w:rsidR="00D52E0A">
        <w:rPr>
          <w:i/>
          <w:iCs/>
          <w:sz w:val="26"/>
          <w:szCs w:val="26"/>
        </w:rPr>
        <w:t>Ali v. Sessions</w:t>
      </w:r>
      <w:r w:rsidRPr="00D52E0A" w:rsidR="00D52E0A">
        <w:rPr>
          <w:sz w:val="26"/>
          <w:szCs w:val="26"/>
        </w:rPr>
        <w:t>, 18-cv-2617-DSD-LIB (D. Minn. Sept. 7, 2018), ECF No. 1 at 7, ¶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32E" w:rsidRDefault="006B132E" w14:paraId="5A43B4D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77002"/>
    <w:multiLevelType w:val="hybridMultilevel"/>
    <w:tmpl w:val="D2D48F04"/>
    <w:lvl w:ilvl="0" w:tplc="FF0E4F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4119E"/>
    <w:multiLevelType w:val="hybridMultilevel"/>
    <w:tmpl w:val="3CA2680E"/>
    <w:lvl w:ilvl="0" w:tplc="D20EDF0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51531"/>
    <w:multiLevelType w:val="hybridMultilevel"/>
    <w:tmpl w:val="CE44A6F6"/>
    <w:lvl w:ilvl="0" w:tplc="951E3CDA">
      <w:start w:val="1"/>
      <w:numFmt w:val="upperRoman"/>
      <w:lvlText w:val="%1."/>
      <w:lvlJc w:val="left"/>
      <w:pPr>
        <w:ind w:left="1080" w:hanging="720"/>
      </w:pPr>
      <w:rPr>
        <w:rFonts w:hint="default"/>
      </w:rPr>
    </w:lvl>
    <w:lvl w:ilvl="1" w:tplc="D97E66BC">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AF4040"/>
    <w:multiLevelType w:val="hybridMultilevel"/>
    <w:tmpl w:val="A33A9AEA"/>
    <w:lvl w:ilvl="0" w:tplc="35B4C3DE">
      <w:start w:val="1"/>
      <w:numFmt w:val="decimal"/>
      <w:lvlText w:val="%1."/>
      <w:lvlJc w:val="left"/>
      <w:pPr>
        <w:ind w:left="540" w:hanging="360"/>
      </w:pPr>
      <w:rPr>
        <w:b w:val="0"/>
        <w:i w:val="0"/>
      </w:rPr>
    </w:lvl>
    <w:lvl w:ilvl="1" w:tplc="646E2DC2">
      <w:start w:val="1"/>
      <w:numFmt w:val="lowerLetter"/>
      <w:lvlText w:val="%2."/>
      <w:lvlJc w:val="left"/>
      <w:pPr>
        <w:ind w:left="1440" w:hanging="360"/>
      </w:pPr>
    </w:lvl>
    <w:lvl w:ilvl="2" w:tplc="D13A47EA">
      <w:start w:val="1"/>
      <w:numFmt w:val="lowerRoman"/>
      <w:lvlText w:val="%3."/>
      <w:lvlJc w:val="right"/>
      <w:pPr>
        <w:ind w:left="2160" w:hanging="180"/>
      </w:pPr>
    </w:lvl>
    <w:lvl w:ilvl="3" w:tplc="3B7098F0">
      <w:start w:val="1"/>
      <w:numFmt w:val="decimal"/>
      <w:lvlText w:val="%4."/>
      <w:lvlJc w:val="left"/>
      <w:pPr>
        <w:ind w:left="2880" w:hanging="360"/>
      </w:pPr>
    </w:lvl>
    <w:lvl w:ilvl="4" w:tplc="C554ACA6">
      <w:start w:val="1"/>
      <w:numFmt w:val="lowerLetter"/>
      <w:lvlText w:val="%5."/>
      <w:lvlJc w:val="left"/>
      <w:pPr>
        <w:ind w:left="3600" w:hanging="360"/>
      </w:pPr>
    </w:lvl>
    <w:lvl w:ilvl="5" w:tplc="E2EADE64">
      <w:start w:val="1"/>
      <w:numFmt w:val="lowerRoman"/>
      <w:lvlText w:val="%6."/>
      <w:lvlJc w:val="right"/>
      <w:pPr>
        <w:ind w:left="4320" w:hanging="180"/>
      </w:pPr>
    </w:lvl>
    <w:lvl w:ilvl="6" w:tplc="280CB1AC">
      <w:start w:val="1"/>
      <w:numFmt w:val="decimal"/>
      <w:lvlText w:val="%7."/>
      <w:lvlJc w:val="left"/>
      <w:pPr>
        <w:ind w:left="5040" w:hanging="360"/>
      </w:pPr>
    </w:lvl>
    <w:lvl w:ilvl="7" w:tplc="B2200AE8">
      <w:start w:val="1"/>
      <w:numFmt w:val="lowerLetter"/>
      <w:lvlText w:val="%8."/>
      <w:lvlJc w:val="left"/>
      <w:pPr>
        <w:ind w:left="5760" w:hanging="360"/>
      </w:pPr>
    </w:lvl>
    <w:lvl w:ilvl="8" w:tplc="B3A8A69A">
      <w:start w:val="1"/>
      <w:numFmt w:val="lowerRoman"/>
      <w:lvlText w:val="%9."/>
      <w:lvlJc w:val="right"/>
      <w:pPr>
        <w:ind w:left="6480" w:hanging="180"/>
      </w:pPr>
    </w:lvl>
  </w:abstractNum>
  <w:abstractNum w:abstractNumId="4" w15:restartNumberingAfterBreak="0">
    <w:nsid w:val="58FD3D7A"/>
    <w:multiLevelType w:val="hybridMultilevel"/>
    <w:tmpl w:val="FC888DD4"/>
    <w:lvl w:ilvl="0" w:tplc="7CDC892C">
      <w:start w:val="1"/>
      <w:numFmt w:val="decimal"/>
      <w:lvlText w:val="%1."/>
      <w:lvlJc w:val="left"/>
      <w:pPr>
        <w:ind w:left="72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07B"/>
    <w:rsid w:val="00001DCF"/>
    <w:rsid w:val="00003654"/>
    <w:rsid w:val="000154AA"/>
    <w:rsid w:val="00017466"/>
    <w:rsid w:val="0001751F"/>
    <w:rsid w:val="000204CD"/>
    <w:rsid w:val="00021289"/>
    <w:rsid w:val="00026B00"/>
    <w:rsid w:val="00040E63"/>
    <w:rsid w:val="000564D4"/>
    <w:rsid w:val="0007340E"/>
    <w:rsid w:val="00080182"/>
    <w:rsid w:val="000830EE"/>
    <w:rsid w:val="000863C1"/>
    <w:rsid w:val="00091002"/>
    <w:rsid w:val="000A0A89"/>
    <w:rsid w:val="000A547E"/>
    <w:rsid w:val="000A57ED"/>
    <w:rsid w:val="000B67CE"/>
    <w:rsid w:val="000B7E23"/>
    <w:rsid w:val="000C3D64"/>
    <w:rsid w:val="000C6BAD"/>
    <w:rsid w:val="000C7F42"/>
    <w:rsid w:val="000E1947"/>
    <w:rsid w:val="000E3B78"/>
    <w:rsid w:val="000F12D5"/>
    <w:rsid w:val="000F19C6"/>
    <w:rsid w:val="000F3831"/>
    <w:rsid w:val="0010130D"/>
    <w:rsid w:val="00104374"/>
    <w:rsid w:val="001144C0"/>
    <w:rsid w:val="00116D35"/>
    <w:rsid w:val="0012162E"/>
    <w:rsid w:val="00122407"/>
    <w:rsid w:val="00125291"/>
    <w:rsid w:val="00134F58"/>
    <w:rsid w:val="00137784"/>
    <w:rsid w:val="00150A2F"/>
    <w:rsid w:val="001554B7"/>
    <w:rsid w:val="001578DE"/>
    <w:rsid w:val="00160B7D"/>
    <w:rsid w:val="001642DF"/>
    <w:rsid w:val="00165487"/>
    <w:rsid w:val="00173961"/>
    <w:rsid w:val="00177B84"/>
    <w:rsid w:val="00180460"/>
    <w:rsid w:val="0018427F"/>
    <w:rsid w:val="0019108E"/>
    <w:rsid w:val="001A135F"/>
    <w:rsid w:val="001A1BEC"/>
    <w:rsid w:val="001A4397"/>
    <w:rsid w:val="001B3C39"/>
    <w:rsid w:val="001B3D69"/>
    <w:rsid w:val="001B63B7"/>
    <w:rsid w:val="001C2E89"/>
    <w:rsid w:val="001E0150"/>
    <w:rsid w:val="001E06D9"/>
    <w:rsid w:val="001F0A23"/>
    <w:rsid w:val="001F4680"/>
    <w:rsid w:val="001F7E37"/>
    <w:rsid w:val="00204D5C"/>
    <w:rsid w:val="00213E02"/>
    <w:rsid w:val="00217925"/>
    <w:rsid w:val="00221F52"/>
    <w:rsid w:val="002244E7"/>
    <w:rsid w:val="00240B19"/>
    <w:rsid w:val="002413EF"/>
    <w:rsid w:val="00241A25"/>
    <w:rsid w:val="002502A8"/>
    <w:rsid w:val="002574C4"/>
    <w:rsid w:val="002600AF"/>
    <w:rsid w:val="00264180"/>
    <w:rsid w:val="00266790"/>
    <w:rsid w:val="002673DA"/>
    <w:rsid w:val="0027015B"/>
    <w:rsid w:val="0027083B"/>
    <w:rsid w:val="00273A8D"/>
    <w:rsid w:val="00280AF3"/>
    <w:rsid w:val="00296338"/>
    <w:rsid w:val="002974FF"/>
    <w:rsid w:val="002A15B7"/>
    <w:rsid w:val="002A66A0"/>
    <w:rsid w:val="002B117F"/>
    <w:rsid w:val="002B1D87"/>
    <w:rsid w:val="002B4D7C"/>
    <w:rsid w:val="002B5F47"/>
    <w:rsid w:val="002C1062"/>
    <w:rsid w:val="002D2BE3"/>
    <w:rsid w:val="002D2C43"/>
    <w:rsid w:val="002D53F3"/>
    <w:rsid w:val="002D7FCA"/>
    <w:rsid w:val="002E5BAF"/>
    <w:rsid w:val="00310347"/>
    <w:rsid w:val="003223C4"/>
    <w:rsid w:val="0032641C"/>
    <w:rsid w:val="003267B3"/>
    <w:rsid w:val="00333634"/>
    <w:rsid w:val="0034043D"/>
    <w:rsid w:val="003573E5"/>
    <w:rsid w:val="003730CC"/>
    <w:rsid w:val="0038212B"/>
    <w:rsid w:val="00382A3D"/>
    <w:rsid w:val="0039238D"/>
    <w:rsid w:val="00393D4B"/>
    <w:rsid w:val="003A4AA2"/>
    <w:rsid w:val="003B05F8"/>
    <w:rsid w:val="003B4004"/>
    <w:rsid w:val="003C1354"/>
    <w:rsid w:val="003C1721"/>
    <w:rsid w:val="003C1F43"/>
    <w:rsid w:val="003C3CE5"/>
    <w:rsid w:val="003C490C"/>
    <w:rsid w:val="003D7A21"/>
    <w:rsid w:val="003E665F"/>
    <w:rsid w:val="003E6896"/>
    <w:rsid w:val="003F28DA"/>
    <w:rsid w:val="00400C4A"/>
    <w:rsid w:val="00414127"/>
    <w:rsid w:val="0041598F"/>
    <w:rsid w:val="00420EFC"/>
    <w:rsid w:val="00423A90"/>
    <w:rsid w:val="0042496A"/>
    <w:rsid w:val="004251F0"/>
    <w:rsid w:val="0043203B"/>
    <w:rsid w:val="00436B8F"/>
    <w:rsid w:val="00442F01"/>
    <w:rsid w:val="004465AE"/>
    <w:rsid w:val="00450E74"/>
    <w:rsid w:val="00465221"/>
    <w:rsid w:val="0048587E"/>
    <w:rsid w:val="004859FC"/>
    <w:rsid w:val="00485EC5"/>
    <w:rsid w:val="00494831"/>
    <w:rsid w:val="004A52AB"/>
    <w:rsid w:val="004A5BD8"/>
    <w:rsid w:val="004B3E37"/>
    <w:rsid w:val="004D3A4B"/>
    <w:rsid w:val="004F01C3"/>
    <w:rsid w:val="004F4034"/>
    <w:rsid w:val="004F79FE"/>
    <w:rsid w:val="00524F4B"/>
    <w:rsid w:val="00525078"/>
    <w:rsid w:val="005254E6"/>
    <w:rsid w:val="00526E9D"/>
    <w:rsid w:val="00534814"/>
    <w:rsid w:val="00542206"/>
    <w:rsid w:val="00551717"/>
    <w:rsid w:val="00553BB3"/>
    <w:rsid w:val="00556A59"/>
    <w:rsid w:val="00557DCE"/>
    <w:rsid w:val="00557FFB"/>
    <w:rsid w:val="00561040"/>
    <w:rsid w:val="00564FB9"/>
    <w:rsid w:val="005714F5"/>
    <w:rsid w:val="0057294A"/>
    <w:rsid w:val="005762BA"/>
    <w:rsid w:val="00587174"/>
    <w:rsid w:val="0059144E"/>
    <w:rsid w:val="00592F85"/>
    <w:rsid w:val="0059619E"/>
    <w:rsid w:val="005A728C"/>
    <w:rsid w:val="005A793B"/>
    <w:rsid w:val="005B69E1"/>
    <w:rsid w:val="005D068F"/>
    <w:rsid w:val="005D666D"/>
    <w:rsid w:val="005D78B1"/>
    <w:rsid w:val="005F3543"/>
    <w:rsid w:val="00603A78"/>
    <w:rsid w:val="0061546E"/>
    <w:rsid w:val="00621374"/>
    <w:rsid w:val="006231FF"/>
    <w:rsid w:val="00625F75"/>
    <w:rsid w:val="0064050E"/>
    <w:rsid w:val="00640CDD"/>
    <w:rsid w:val="00643FC5"/>
    <w:rsid w:val="006468A3"/>
    <w:rsid w:val="00650D8D"/>
    <w:rsid w:val="006647BA"/>
    <w:rsid w:val="006758BF"/>
    <w:rsid w:val="006829CA"/>
    <w:rsid w:val="00682D05"/>
    <w:rsid w:val="006952DD"/>
    <w:rsid w:val="00695CF3"/>
    <w:rsid w:val="006A0255"/>
    <w:rsid w:val="006A05F8"/>
    <w:rsid w:val="006A0BBF"/>
    <w:rsid w:val="006A10E9"/>
    <w:rsid w:val="006A1B22"/>
    <w:rsid w:val="006A3DEB"/>
    <w:rsid w:val="006A44FD"/>
    <w:rsid w:val="006B0112"/>
    <w:rsid w:val="006B132E"/>
    <w:rsid w:val="006B14CC"/>
    <w:rsid w:val="006C1F57"/>
    <w:rsid w:val="006F0858"/>
    <w:rsid w:val="00706A7C"/>
    <w:rsid w:val="00711397"/>
    <w:rsid w:val="0071318E"/>
    <w:rsid w:val="00726C7E"/>
    <w:rsid w:val="00737155"/>
    <w:rsid w:val="00743337"/>
    <w:rsid w:val="007464DE"/>
    <w:rsid w:val="00753FDA"/>
    <w:rsid w:val="00777E41"/>
    <w:rsid w:val="00781589"/>
    <w:rsid w:val="007846B3"/>
    <w:rsid w:val="00795AB9"/>
    <w:rsid w:val="00795E1B"/>
    <w:rsid w:val="007A4BF6"/>
    <w:rsid w:val="007B0051"/>
    <w:rsid w:val="007B2569"/>
    <w:rsid w:val="007D7E23"/>
    <w:rsid w:val="007E4A77"/>
    <w:rsid w:val="007E60FD"/>
    <w:rsid w:val="007F1A7C"/>
    <w:rsid w:val="007F507D"/>
    <w:rsid w:val="007F56CD"/>
    <w:rsid w:val="008128AF"/>
    <w:rsid w:val="00817D5D"/>
    <w:rsid w:val="0082156B"/>
    <w:rsid w:val="008221B2"/>
    <w:rsid w:val="0082392F"/>
    <w:rsid w:val="00827BC7"/>
    <w:rsid w:val="00833AFB"/>
    <w:rsid w:val="00834FF7"/>
    <w:rsid w:val="00836D7E"/>
    <w:rsid w:val="00840C47"/>
    <w:rsid w:val="008447A9"/>
    <w:rsid w:val="00851642"/>
    <w:rsid w:val="00852B9A"/>
    <w:rsid w:val="0085502F"/>
    <w:rsid w:val="00855CD3"/>
    <w:rsid w:val="00862AC7"/>
    <w:rsid w:val="00873A20"/>
    <w:rsid w:val="008A1349"/>
    <w:rsid w:val="008A14C7"/>
    <w:rsid w:val="008A333F"/>
    <w:rsid w:val="008A391F"/>
    <w:rsid w:val="008A67D3"/>
    <w:rsid w:val="008A7712"/>
    <w:rsid w:val="008A7D3E"/>
    <w:rsid w:val="008B73F4"/>
    <w:rsid w:val="008C15B2"/>
    <w:rsid w:val="008D3D6B"/>
    <w:rsid w:val="008D756D"/>
    <w:rsid w:val="008E0161"/>
    <w:rsid w:val="008E4377"/>
    <w:rsid w:val="008E4AC2"/>
    <w:rsid w:val="008F133E"/>
    <w:rsid w:val="008F1FEF"/>
    <w:rsid w:val="008F6D8C"/>
    <w:rsid w:val="009060ED"/>
    <w:rsid w:val="00911871"/>
    <w:rsid w:val="009172FF"/>
    <w:rsid w:val="00921307"/>
    <w:rsid w:val="00921BCF"/>
    <w:rsid w:val="0092434F"/>
    <w:rsid w:val="00925ECB"/>
    <w:rsid w:val="0093452E"/>
    <w:rsid w:val="00935823"/>
    <w:rsid w:val="009362DA"/>
    <w:rsid w:val="009369EC"/>
    <w:rsid w:val="00936E31"/>
    <w:rsid w:val="00940477"/>
    <w:rsid w:val="00940D88"/>
    <w:rsid w:val="009477E5"/>
    <w:rsid w:val="00950138"/>
    <w:rsid w:val="00950E10"/>
    <w:rsid w:val="00951FB9"/>
    <w:rsid w:val="009522EA"/>
    <w:rsid w:val="009532AF"/>
    <w:rsid w:val="00953AB1"/>
    <w:rsid w:val="00954E66"/>
    <w:rsid w:val="00967B91"/>
    <w:rsid w:val="00975E23"/>
    <w:rsid w:val="00980708"/>
    <w:rsid w:val="00981F78"/>
    <w:rsid w:val="00982DB3"/>
    <w:rsid w:val="0098365D"/>
    <w:rsid w:val="009843CA"/>
    <w:rsid w:val="00990D1B"/>
    <w:rsid w:val="0099273B"/>
    <w:rsid w:val="009971B0"/>
    <w:rsid w:val="009A7FDE"/>
    <w:rsid w:val="009C3AB8"/>
    <w:rsid w:val="009D248D"/>
    <w:rsid w:val="009D4061"/>
    <w:rsid w:val="009D52B5"/>
    <w:rsid w:val="009E0444"/>
    <w:rsid w:val="009E3820"/>
    <w:rsid w:val="009F63AF"/>
    <w:rsid w:val="00A01304"/>
    <w:rsid w:val="00A100E8"/>
    <w:rsid w:val="00A11362"/>
    <w:rsid w:val="00A211FE"/>
    <w:rsid w:val="00A221D5"/>
    <w:rsid w:val="00A22E68"/>
    <w:rsid w:val="00A30C1D"/>
    <w:rsid w:val="00A37192"/>
    <w:rsid w:val="00A44C89"/>
    <w:rsid w:val="00A46CD6"/>
    <w:rsid w:val="00A50FE6"/>
    <w:rsid w:val="00A5297D"/>
    <w:rsid w:val="00A5396F"/>
    <w:rsid w:val="00A53DC1"/>
    <w:rsid w:val="00A5445C"/>
    <w:rsid w:val="00A549FF"/>
    <w:rsid w:val="00A62B74"/>
    <w:rsid w:val="00A67E2C"/>
    <w:rsid w:val="00A7507B"/>
    <w:rsid w:val="00A76820"/>
    <w:rsid w:val="00A777A5"/>
    <w:rsid w:val="00A84140"/>
    <w:rsid w:val="00A8599D"/>
    <w:rsid w:val="00A8626E"/>
    <w:rsid w:val="00A875AE"/>
    <w:rsid w:val="00AA0C42"/>
    <w:rsid w:val="00AA3A33"/>
    <w:rsid w:val="00AA4C97"/>
    <w:rsid w:val="00AB1C1D"/>
    <w:rsid w:val="00AB443A"/>
    <w:rsid w:val="00AB6E55"/>
    <w:rsid w:val="00AC24AD"/>
    <w:rsid w:val="00AC5FE1"/>
    <w:rsid w:val="00AD0F43"/>
    <w:rsid w:val="00AD6C50"/>
    <w:rsid w:val="00AF0E1A"/>
    <w:rsid w:val="00AF6B48"/>
    <w:rsid w:val="00B043A2"/>
    <w:rsid w:val="00B13067"/>
    <w:rsid w:val="00B252BE"/>
    <w:rsid w:val="00B314B4"/>
    <w:rsid w:val="00B32BD3"/>
    <w:rsid w:val="00B34F6B"/>
    <w:rsid w:val="00B4142C"/>
    <w:rsid w:val="00B4251F"/>
    <w:rsid w:val="00B500C7"/>
    <w:rsid w:val="00B51B40"/>
    <w:rsid w:val="00B53A43"/>
    <w:rsid w:val="00B5494A"/>
    <w:rsid w:val="00B6007E"/>
    <w:rsid w:val="00B640A7"/>
    <w:rsid w:val="00B75957"/>
    <w:rsid w:val="00B80521"/>
    <w:rsid w:val="00B8782C"/>
    <w:rsid w:val="00B93C81"/>
    <w:rsid w:val="00B9439E"/>
    <w:rsid w:val="00B94BED"/>
    <w:rsid w:val="00BA03FA"/>
    <w:rsid w:val="00BA5225"/>
    <w:rsid w:val="00BC1355"/>
    <w:rsid w:val="00BC1DE4"/>
    <w:rsid w:val="00BC26C8"/>
    <w:rsid w:val="00BD0CD0"/>
    <w:rsid w:val="00BE3B8A"/>
    <w:rsid w:val="00BF201F"/>
    <w:rsid w:val="00BF32F1"/>
    <w:rsid w:val="00BF6C5E"/>
    <w:rsid w:val="00BF6FDA"/>
    <w:rsid w:val="00C008A3"/>
    <w:rsid w:val="00C01F7E"/>
    <w:rsid w:val="00C040DC"/>
    <w:rsid w:val="00C0606F"/>
    <w:rsid w:val="00C14B7B"/>
    <w:rsid w:val="00C3021A"/>
    <w:rsid w:val="00C302AE"/>
    <w:rsid w:val="00C33E05"/>
    <w:rsid w:val="00C50AEF"/>
    <w:rsid w:val="00C52AC9"/>
    <w:rsid w:val="00C576E9"/>
    <w:rsid w:val="00C80B9F"/>
    <w:rsid w:val="00C83955"/>
    <w:rsid w:val="00C85B58"/>
    <w:rsid w:val="00C86901"/>
    <w:rsid w:val="00C87F9E"/>
    <w:rsid w:val="00C922C4"/>
    <w:rsid w:val="00C9799B"/>
    <w:rsid w:val="00CA0286"/>
    <w:rsid w:val="00CA4CC0"/>
    <w:rsid w:val="00CB5EF2"/>
    <w:rsid w:val="00CC3FA0"/>
    <w:rsid w:val="00CC4526"/>
    <w:rsid w:val="00CD0B14"/>
    <w:rsid w:val="00CD1772"/>
    <w:rsid w:val="00CD3335"/>
    <w:rsid w:val="00CD6CAC"/>
    <w:rsid w:val="00CE1213"/>
    <w:rsid w:val="00CE3A3E"/>
    <w:rsid w:val="00CE5A6F"/>
    <w:rsid w:val="00CE7599"/>
    <w:rsid w:val="00CF6A5E"/>
    <w:rsid w:val="00D041F0"/>
    <w:rsid w:val="00D14B97"/>
    <w:rsid w:val="00D25834"/>
    <w:rsid w:val="00D40D84"/>
    <w:rsid w:val="00D51F8E"/>
    <w:rsid w:val="00D52E0A"/>
    <w:rsid w:val="00D54B2B"/>
    <w:rsid w:val="00D701E6"/>
    <w:rsid w:val="00D724E1"/>
    <w:rsid w:val="00D75330"/>
    <w:rsid w:val="00D80273"/>
    <w:rsid w:val="00D957CA"/>
    <w:rsid w:val="00D96760"/>
    <w:rsid w:val="00DA0A1D"/>
    <w:rsid w:val="00DA4167"/>
    <w:rsid w:val="00DB1BDF"/>
    <w:rsid w:val="00DB3941"/>
    <w:rsid w:val="00DC6A25"/>
    <w:rsid w:val="00DD07C4"/>
    <w:rsid w:val="00DD267F"/>
    <w:rsid w:val="00DE0585"/>
    <w:rsid w:val="00DE1ACD"/>
    <w:rsid w:val="00DE460C"/>
    <w:rsid w:val="00DF2124"/>
    <w:rsid w:val="00DF2646"/>
    <w:rsid w:val="00DF321F"/>
    <w:rsid w:val="00E01DC1"/>
    <w:rsid w:val="00E03199"/>
    <w:rsid w:val="00E10052"/>
    <w:rsid w:val="00E2228D"/>
    <w:rsid w:val="00E23970"/>
    <w:rsid w:val="00E258D1"/>
    <w:rsid w:val="00E26E60"/>
    <w:rsid w:val="00E31D29"/>
    <w:rsid w:val="00E36104"/>
    <w:rsid w:val="00E36E22"/>
    <w:rsid w:val="00E42414"/>
    <w:rsid w:val="00E42D65"/>
    <w:rsid w:val="00E456E0"/>
    <w:rsid w:val="00E6070B"/>
    <w:rsid w:val="00E61BA1"/>
    <w:rsid w:val="00E639E1"/>
    <w:rsid w:val="00E73510"/>
    <w:rsid w:val="00E836B6"/>
    <w:rsid w:val="00E9429A"/>
    <w:rsid w:val="00E94A81"/>
    <w:rsid w:val="00EA481E"/>
    <w:rsid w:val="00EA794E"/>
    <w:rsid w:val="00EB164F"/>
    <w:rsid w:val="00EB334B"/>
    <w:rsid w:val="00EB39F8"/>
    <w:rsid w:val="00EB3C7D"/>
    <w:rsid w:val="00EB4233"/>
    <w:rsid w:val="00EB5570"/>
    <w:rsid w:val="00EB70E9"/>
    <w:rsid w:val="00EC7D8C"/>
    <w:rsid w:val="00ED01DF"/>
    <w:rsid w:val="00ED386D"/>
    <w:rsid w:val="00ED611A"/>
    <w:rsid w:val="00ED7089"/>
    <w:rsid w:val="00EE1E07"/>
    <w:rsid w:val="00EF1345"/>
    <w:rsid w:val="00EF2369"/>
    <w:rsid w:val="00EF29DA"/>
    <w:rsid w:val="00EF2CF9"/>
    <w:rsid w:val="00EF33BE"/>
    <w:rsid w:val="00F20353"/>
    <w:rsid w:val="00F22D22"/>
    <w:rsid w:val="00F32D76"/>
    <w:rsid w:val="00F34272"/>
    <w:rsid w:val="00F34FA8"/>
    <w:rsid w:val="00F35C46"/>
    <w:rsid w:val="00F46879"/>
    <w:rsid w:val="00F47E0B"/>
    <w:rsid w:val="00F56EEB"/>
    <w:rsid w:val="00F57FC2"/>
    <w:rsid w:val="00F64AF9"/>
    <w:rsid w:val="00F6780E"/>
    <w:rsid w:val="00F7585D"/>
    <w:rsid w:val="00F81FE7"/>
    <w:rsid w:val="00F83D34"/>
    <w:rsid w:val="00F84939"/>
    <w:rsid w:val="00F91549"/>
    <w:rsid w:val="00F93875"/>
    <w:rsid w:val="00F9559E"/>
    <w:rsid w:val="00F961BF"/>
    <w:rsid w:val="00F96436"/>
    <w:rsid w:val="00FA25AF"/>
    <w:rsid w:val="00FA4B1A"/>
    <w:rsid w:val="00FB3051"/>
    <w:rsid w:val="00FB6A99"/>
    <w:rsid w:val="00FC0481"/>
    <w:rsid w:val="00FE3833"/>
    <w:rsid w:val="00FF5193"/>
    <w:rsid w:val="00FF5E72"/>
    <w:rsid w:val="00FF6A6D"/>
    <w:rsid w:val="00FF7AC7"/>
    <w:rsid w:val="501E36CA"/>
    <w:rsid w:val="5A0BCC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8339"/>
  <w15:docId w15:val="{8C61E853-974D-4CCD-8812-880CFF804B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autoRedefine/>
    <w:uiPriority w:val="99"/>
    <w:unhideWhenUsed/>
    <w:rsid w:val="002673DA"/>
    <w:pPr>
      <w:spacing w:after="240" w:line="240" w:lineRule="auto"/>
    </w:pPr>
    <w:rPr>
      <w:rFonts w:ascii="Times New Roman" w:hAnsi="Times New Roman"/>
      <w:sz w:val="24"/>
      <w:szCs w:val="24"/>
    </w:rPr>
  </w:style>
  <w:style w:type="character" w:styleId="FootnoteTextChar" w:customStyle="1">
    <w:name w:val="Footnote Text Char"/>
    <w:basedOn w:val="DefaultParagraphFont"/>
    <w:link w:val="FootnoteText"/>
    <w:uiPriority w:val="99"/>
    <w:rsid w:val="002673DA"/>
    <w:rPr>
      <w:rFonts w:ascii="Times New Roman" w:hAnsi="Times New Roman"/>
      <w:sz w:val="24"/>
      <w:szCs w:val="24"/>
    </w:rPr>
  </w:style>
  <w:style w:type="paragraph" w:styleId="TOC1">
    <w:name w:val="toc 1"/>
    <w:basedOn w:val="Normal"/>
    <w:next w:val="Normal"/>
    <w:autoRedefine/>
    <w:uiPriority w:val="39"/>
    <w:unhideWhenUsed/>
    <w:rsid w:val="00EB164F"/>
    <w:pPr>
      <w:tabs>
        <w:tab w:val="left" w:pos="440"/>
        <w:tab w:val="right" w:leader="dot" w:pos="9350"/>
      </w:tabs>
      <w:spacing w:after="100" w:line="240" w:lineRule="auto"/>
      <w:ind w:left="720" w:hanging="720"/>
    </w:pPr>
    <w:rPr>
      <w:rFonts w:ascii="Times New Roman" w:hAnsi="Times New Roman"/>
      <w:noProof/>
      <w:sz w:val="24"/>
    </w:rPr>
  </w:style>
  <w:style w:type="paragraph" w:styleId="TOC2">
    <w:name w:val="toc 2"/>
    <w:basedOn w:val="Normal"/>
    <w:next w:val="Normal"/>
    <w:autoRedefine/>
    <w:uiPriority w:val="39"/>
    <w:unhideWhenUsed/>
    <w:rsid w:val="00EB164F"/>
    <w:pPr>
      <w:spacing w:after="100" w:line="240" w:lineRule="auto"/>
      <w:ind w:left="720" w:hanging="360"/>
    </w:pPr>
    <w:rPr>
      <w:rFonts w:ascii="Times New Roman" w:hAnsi="Times New Roman"/>
      <w:sz w:val="24"/>
    </w:rPr>
  </w:style>
  <w:style w:type="paragraph" w:styleId="TOC3">
    <w:name w:val="toc 3"/>
    <w:basedOn w:val="Normal"/>
    <w:next w:val="Normal"/>
    <w:autoRedefine/>
    <w:uiPriority w:val="39"/>
    <w:unhideWhenUsed/>
    <w:rsid w:val="00EB164F"/>
    <w:pPr>
      <w:tabs>
        <w:tab w:val="left" w:pos="880"/>
        <w:tab w:val="right" w:leader="dot" w:pos="9350"/>
      </w:tabs>
      <w:spacing w:after="100" w:line="240" w:lineRule="auto"/>
      <w:ind w:left="1080" w:hanging="360"/>
    </w:pPr>
    <w:rPr>
      <w:rFonts w:ascii="Times New Roman" w:hAnsi="Times New Roman"/>
      <w:sz w:val="24"/>
    </w:rPr>
  </w:style>
  <w:style w:type="table" w:styleId="TableGrid">
    <w:name w:val="Table Grid"/>
    <w:basedOn w:val="TableNormal"/>
    <w:uiPriority w:val="39"/>
    <w:rsid w:val="00A7507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C1721"/>
    <w:pPr>
      <w:ind w:left="720"/>
      <w:contextualSpacing/>
    </w:pPr>
  </w:style>
  <w:style w:type="paragraph" w:styleId="Header">
    <w:name w:val="header"/>
    <w:basedOn w:val="Normal"/>
    <w:link w:val="HeaderChar"/>
    <w:uiPriority w:val="99"/>
    <w:unhideWhenUsed/>
    <w:rsid w:val="00CF6A5E"/>
    <w:pPr>
      <w:tabs>
        <w:tab w:val="center" w:pos="4680"/>
        <w:tab w:val="right" w:pos="9360"/>
      </w:tabs>
      <w:spacing w:after="0" w:line="240" w:lineRule="auto"/>
    </w:pPr>
  </w:style>
  <w:style w:type="character" w:styleId="HeaderChar" w:customStyle="1">
    <w:name w:val="Header Char"/>
    <w:basedOn w:val="DefaultParagraphFont"/>
    <w:link w:val="Header"/>
    <w:uiPriority w:val="99"/>
    <w:rsid w:val="00CF6A5E"/>
  </w:style>
  <w:style w:type="paragraph" w:styleId="Footer">
    <w:name w:val="footer"/>
    <w:basedOn w:val="Normal"/>
    <w:link w:val="FooterChar"/>
    <w:uiPriority w:val="99"/>
    <w:unhideWhenUsed/>
    <w:rsid w:val="00CF6A5E"/>
    <w:pPr>
      <w:tabs>
        <w:tab w:val="center" w:pos="4680"/>
        <w:tab w:val="right" w:pos="9360"/>
      </w:tabs>
      <w:spacing w:after="0" w:line="240" w:lineRule="auto"/>
    </w:pPr>
  </w:style>
  <w:style w:type="character" w:styleId="FooterChar" w:customStyle="1">
    <w:name w:val="Footer Char"/>
    <w:basedOn w:val="DefaultParagraphFont"/>
    <w:link w:val="Footer"/>
    <w:uiPriority w:val="99"/>
    <w:rsid w:val="00CF6A5E"/>
  </w:style>
  <w:style w:type="character" w:styleId="FootnoteReference">
    <w:name w:val="footnote reference"/>
    <w:basedOn w:val="DefaultParagraphFont"/>
    <w:uiPriority w:val="99"/>
    <w:semiHidden/>
    <w:unhideWhenUsed/>
    <w:rsid w:val="00D51F8E"/>
    <w:rPr>
      <w:vertAlign w:val="superscript"/>
    </w:rPr>
  </w:style>
  <w:style w:type="character" w:styleId="CommentReference">
    <w:name w:val="annotation reference"/>
    <w:basedOn w:val="DefaultParagraphFont"/>
    <w:uiPriority w:val="99"/>
    <w:semiHidden/>
    <w:unhideWhenUsed/>
    <w:rsid w:val="00D701E6"/>
    <w:rPr>
      <w:sz w:val="16"/>
      <w:szCs w:val="16"/>
    </w:rPr>
  </w:style>
  <w:style w:type="paragraph" w:styleId="CommentText">
    <w:name w:val="annotation text"/>
    <w:basedOn w:val="Normal"/>
    <w:link w:val="CommentTextChar"/>
    <w:uiPriority w:val="99"/>
    <w:semiHidden/>
    <w:unhideWhenUsed/>
    <w:rsid w:val="00D701E6"/>
    <w:pPr>
      <w:spacing w:line="240" w:lineRule="auto"/>
    </w:pPr>
    <w:rPr>
      <w:sz w:val="20"/>
      <w:szCs w:val="20"/>
    </w:rPr>
  </w:style>
  <w:style w:type="character" w:styleId="CommentTextChar" w:customStyle="1">
    <w:name w:val="Comment Text Char"/>
    <w:basedOn w:val="DefaultParagraphFont"/>
    <w:link w:val="CommentText"/>
    <w:uiPriority w:val="99"/>
    <w:semiHidden/>
    <w:rsid w:val="00D701E6"/>
    <w:rPr>
      <w:sz w:val="20"/>
      <w:szCs w:val="20"/>
    </w:rPr>
  </w:style>
  <w:style w:type="paragraph" w:styleId="CommentSubject">
    <w:name w:val="annotation subject"/>
    <w:basedOn w:val="CommentText"/>
    <w:next w:val="CommentText"/>
    <w:link w:val="CommentSubjectChar"/>
    <w:uiPriority w:val="99"/>
    <w:semiHidden/>
    <w:unhideWhenUsed/>
    <w:rsid w:val="00D701E6"/>
    <w:rPr>
      <w:b/>
      <w:bCs/>
    </w:rPr>
  </w:style>
  <w:style w:type="character" w:styleId="CommentSubjectChar" w:customStyle="1">
    <w:name w:val="Comment Subject Char"/>
    <w:basedOn w:val="CommentTextChar"/>
    <w:link w:val="CommentSubject"/>
    <w:uiPriority w:val="99"/>
    <w:semiHidden/>
    <w:rsid w:val="00D701E6"/>
    <w:rPr>
      <w:b/>
      <w:bCs/>
      <w:sz w:val="20"/>
      <w:szCs w:val="20"/>
    </w:rPr>
  </w:style>
  <w:style w:type="paragraph" w:styleId="BalloonText">
    <w:name w:val="Balloon Text"/>
    <w:basedOn w:val="Normal"/>
    <w:link w:val="BalloonTextChar"/>
    <w:uiPriority w:val="99"/>
    <w:semiHidden/>
    <w:unhideWhenUsed/>
    <w:rsid w:val="00D701E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701E6"/>
    <w:rPr>
      <w:rFonts w:ascii="Segoe UI" w:hAnsi="Segoe UI" w:cs="Segoe UI"/>
      <w:sz w:val="18"/>
      <w:szCs w:val="18"/>
    </w:rPr>
  </w:style>
  <w:style w:type="character" w:styleId="Hyperlink">
    <w:name w:val="Hyperlink"/>
    <w:basedOn w:val="DefaultParagraphFont"/>
    <w:uiPriority w:val="99"/>
    <w:unhideWhenUsed/>
    <w:rsid w:val="004859FC"/>
    <w:rPr>
      <w:color w:val="0563C1" w:themeColor="hyperlink"/>
      <w:u w:val="single"/>
    </w:rPr>
  </w:style>
  <w:style w:type="character" w:styleId="UnresolvedMention1" w:customStyle="1">
    <w:name w:val="Unresolved Mention1"/>
    <w:basedOn w:val="DefaultParagraphFont"/>
    <w:uiPriority w:val="99"/>
    <w:semiHidden/>
    <w:unhideWhenUsed/>
    <w:rsid w:val="004859FC"/>
    <w:rPr>
      <w:color w:val="808080"/>
      <w:shd w:val="clear" w:color="auto" w:fill="E6E6E6"/>
    </w:rPr>
  </w:style>
  <w:style w:type="paragraph" w:styleId="EndnoteText">
    <w:name w:val="endnote text"/>
    <w:basedOn w:val="Normal"/>
    <w:link w:val="EndnoteTextChar"/>
    <w:uiPriority w:val="99"/>
    <w:semiHidden/>
    <w:unhideWhenUsed/>
    <w:rsid w:val="009D248D"/>
    <w:pPr>
      <w:spacing w:after="0" w:line="240" w:lineRule="auto"/>
    </w:pPr>
    <w:rPr>
      <w:sz w:val="20"/>
      <w:szCs w:val="20"/>
    </w:rPr>
  </w:style>
  <w:style w:type="character" w:styleId="EndnoteTextChar" w:customStyle="1">
    <w:name w:val="Endnote Text Char"/>
    <w:basedOn w:val="DefaultParagraphFont"/>
    <w:link w:val="EndnoteText"/>
    <w:uiPriority w:val="99"/>
    <w:semiHidden/>
    <w:rsid w:val="009D248D"/>
    <w:rPr>
      <w:sz w:val="20"/>
      <w:szCs w:val="20"/>
    </w:rPr>
  </w:style>
  <w:style w:type="character" w:styleId="EndnoteReference">
    <w:name w:val="endnote reference"/>
    <w:basedOn w:val="DefaultParagraphFont"/>
    <w:uiPriority w:val="99"/>
    <w:semiHidden/>
    <w:unhideWhenUsed/>
    <w:rsid w:val="009D248D"/>
    <w:rPr>
      <w:vertAlign w:val="superscript"/>
    </w:rPr>
  </w:style>
  <w:style w:type="paragraph" w:styleId="Pleading" w:customStyle="1">
    <w:name w:val="Pleading"/>
    <w:basedOn w:val="Normal"/>
    <w:rsid w:val="00CE3A3E"/>
    <w:pPr>
      <w:spacing w:after="0"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33077">
      <w:bodyDiv w:val="1"/>
      <w:marLeft w:val="0"/>
      <w:marRight w:val="0"/>
      <w:marTop w:val="0"/>
      <w:marBottom w:val="0"/>
      <w:divBdr>
        <w:top w:val="none" w:sz="0" w:space="0" w:color="auto"/>
        <w:left w:val="none" w:sz="0" w:space="0" w:color="auto"/>
        <w:bottom w:val="none" w:sz="0" w:space="0" w:color="auto"/>
        <w:right w:val="none" w:sz="0" w:space="0" w:color="auto"/>
      </w:divBdr>
    </w:div>
    <w:div w:id="190195246">
      <w:bodyDiv w:val="1"/>
      <w:marLeft w:val="0"/>
      <w:marRight w:val="0"/>
      <w:marTop w:val="0"/>
      <w:marBottom w:val="0"/>
      <w:divBdr>
        <w:top w:val="none" w:sz="0" w:space="0" w:color="auto"/>
        <w:left w:val="none" w:sz="0" w:space="0" w:color="auto"/>
        <w:bottom w:val="none" w:sz="0" w:space="0" w:color="auto"/>
        <w:right w:val="none" w:sz="0" w:space="0" w:color="auto"/>
      </w:divBdr>
      <w:divsChild>
        <w:div w:id="129827386">
          <w:marLeft w:val="240"/>
          <w:marRight w:val="0"/>
          <w:marTop w:val="60"/>
          <w:marBottom w:val="60"/>
          <w:divBdr>
            <w:top w:val="none" w:sz="0" w:space="0" w:color="auto"/>
            <w:left w:val="none" w:sz="0" w:space="0" w:color="auto"/>
            <w:bottom w:val="none" w:sz="0" w:space="0" w:color="auto"/>
            <w:right w:val="none" w:sz="0" w:space="0" w:color="auto"/>
          </w:divBdr>
          <w:divsChild>
            <w:div w:id="2040809864">
              <w:marLeft w:val="0"/>
              <w:marRight w:val="0"/>
              <w:marTop w:val="0"/>
              <w:marBottom w:val="0"/>
              <w:divBdr>
                <w:top w:val="none" w:sz="0" w:space="0" w:color="auto"/>
                <w:left w:val="none" w:sz="0" w:space="0" w:color="auto"/>
                <w:bottom w:val="none" w:sz="0" w:space="0" w:color="auto"/>
                <w:right w:val="none" w:sz="0" w:space="0" w:color="auto"/>
              </w:divBdr>
            </w:div>
          </w:divsChild>
        </w:div>
        <w:div w:id="1021277424">
          <w:marLeft w:val="240"/>
          <w:marRight w:val="0"/>
          <w:marTop w:val="60"/>
          <w:marBottom w:val="60"/>
          <w:divBdr>
            <w:top w:val="none" w:sz="0" w:space="0" w:color="auto"/>
            <w:left w:val="none" w:sz="0" w:space="0" w:color="auto"/>
            <w:bottom w:val="none" w:sz="0" w:space="0" w:color="auto"/>
            <w:right w:val="none" w:sz="0" w:space="0" w:color="auto"/>
          </w:divBdr>
          <w:divsChild>
            <w:div w:id="1950428485">
              <w:marLeft w:val="0"/>
              <w:marRight w:val="0"/>
              <w:marTop w:val="0"/>
              <w:marBottom w:val="0"/>
              <w:divBdr>
                <w:top w:val="none" w:sz="0" w:space="0" w:color="auto"/>
                <w:left w:val="none" w:sz="0" w:space="0" w:color="auto"/>
                <w:bottom w:val="none" w:sz="0" w:space="0" w:color="auto"/>
                <w:right w:val="none" w:sz="0" w:space="0" w:color="auto"/>
              </w:divBdr>
            </w:div>
          </w:divsChild>
        </w:div>
        <w:div w:id="1792045414">
          <w:marLeft w:val="240"/>
          <w:marRight w:val="0"/>
          <w:marTop w:val="60"/>
          <w:marBottom w:val="60"/>
          <w:divBdr>
            <w:top w:val="none" w:sz="0" w:space="0" w:color="auto"/>
            <w:left w:val="none" w:sz="0" w:space="0" w:color="auto"/>
            <w:bottom w:val="none" w:sz="0" w:space="0" w:color="auto"/>
            <w:right w:val="none" w:sz="0" w:space="0" w:color="auto"/>
          </w:divBdr>
          <w:divsChild>
            <w:div w:id="12308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2050">
      <w:bodyDiv w:val="1"/>
      <w:marLeft w:val="0"/>
      <w:marRight w:val="0"/>
      <w:marTop w:val="0"/>
      <w:marBottom w:val="0"/>
      <w:divBdr>
        <w:top w:val="none" w:sz="0" w:space="0" w:color="auto"/>
        <w:left w:val="none" w:sz="0" w:space="0" w:color="auto"/>
        <w:bottom w:val="none" w:sz="0" w:space="0" w:color="auto"/>
        <w:right w:val="none" w:sz="0" w:space="0" w:color="auto"/>
      </w:divBdr>
      <w:divsChild>
        <w:div w:id="529072476">
          <w:marLeft w:val="240"/>
          <w:marRight w:val="0"/>
          <w:marTop w:val="60"/>
          <w:marBottom w:val="60"/>
          <w:divBdr>
            <w:top w:val="none" w:sz="0" w:space="0" w:color="auto"/>
            <w:left w:val="none" w:sz="0" w:space="0" w:color="auto"/>
            <w:bottom w:val="none" w:sz="0" w:space="0" w:color="auto"/>
            <w:right w:val="none" w:sz="0" w:space="0" w:color="auto"/>
          </w:divBdr>
          <w:divsChild>
            <w:div w:id="1863282690">
              <w:marLeft w:val="0"/>
              <w:marRight w:val="0"/>
              <w:marTop w:val="0"/>
              <w:marBottom w:val="0"/>
              <w:divBdr>
                <w:top w:val="none" w:sz="0" w:space="0" w:color="auto"/>
                <w:left w:val="none" w:sz="0" w:space="0" w:color="auto"/>
                <w:bottom w:val="none" w:sz="0" w:space="0" w:color="auto"/>
                <w:right w:val="none" w:sz="0" w:space="0" w:color="auto"/>
              </w:divBdr>
            </w:div>
          </w:divsChild>
        </w:div>
        <w:div w:id="260525934">
          <w:marLeft w:val="240"/>
          <w:marRight w:val="0"/>
          <w:marTop w:val="60"/>
          <w:marBottom w:val="60"/>
          <w:divBdr>
            <w:top w:val="none" w:sz="0" w:space="0" w:color="auto"/>
            <w:left w:val="none" w:sz="0" w:space="0" w:color="auto"/>
            <w:bottom w:val="none" w:sz="0" w:space="0" w:color="auto"/>
            <w:right w:val="none" w:sz="0" w:space="0" w:color="auto"/>
          </w:divBdr>
          <w:divsChild>
            <w:div w:id="646323389">
              <w:marLeft w:val="0"/>
              <w:marRight w:val="0"/>
              <w:marTop w:val="0"/>
              <w:marBottom w:val="0"/>
              <w:divBdr>
                <w:top w:val="none" w:sz="0" w:space="0" w:color="auto"/>
                <w:left w:val="none" w:sz="0" w:space="0" w:color="auto"/>
                <w:bottom w:val="none" w:sz="0" w:space="0" w:color="auto"/>
                <w:right w:val="none" w:sz="0" w:space="0" w:color="auto"/>
              </w:divBdr>
            </w:div>
          </w:divsChild>
        </w:div>
        <w:div w:id="571891885">
          <w:marLeft w:val="240"/>
          <w:marRight w:val="0"/>
          <w:marTop w:val="60"/>
          <w:marBottom w:val="60"/>
          <w:divBdr>
            <w:top w:val="none" w:sz="0" w:space="0" w:color="auto"/>
            <w:left w:val="none" w:sz="0" w:space="0" w:color="auto"/>
            <w:bottom w:val="none" w:sz="0" w:space="0" w:color="auto"/>
            <w:right w:val="none" w:sz="0" w:space="0" w:color="auto"/>
          </w:divBdr>
          <w:divsChild>
            <w:div w:id="1199929777">
              <w:marLeft w:val="0"/>
              <w:marRight w:val="0"/>
              <w:marTop w:val="0"/>
              <w:marBottom w:val="0"/>
              <w:divBdr>
                <w:top w:val="none" w:sz="0" w:space="0" w:color="auto"/>
                <w:left w:val="none" w:sz="0" w:space="0" w:color="auto"/>
                <w:bottom w:val="none" w:sz="0" w:space="0" w:color="auto"/>
                <w:right w:val="none" w:sz="0" w:space="0" w:color="auto"/>
              </w:divBdr>
            </w:div>
          </w:divsChild>
        </w:div>
        <w:div w:id="162934144">
          <w:marLeft w:val="240"/>
          <w:marRight w:val="0"/>
          <w:marTop w:val="60"/>
          <w:marBottom w:val="60"/>
          <w:divBdr>
            <w:top w:val="none" w:sz="0" w:space="0" w:color="auto"/>
            <w:left w:val="none" w:sz="0" w:space="0" w:color="auto"/>
            <w:bottom w:val="none" w:sz="0" w:space="0" w:color="auto"/>
            <w:right w:val="none" w:sz="0" w:space="0" w:color="auto"/>
          </w:divBdr>
          <w:divsChild>
            <w:div w:id="17752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20725">
      <w:bodyDiv w:val="1"/>
      <w:marLeft w:val="0"/>
      <w:marRight w:val="0"/>
      <w:marTop w:val="0"/>
      <w:marBottom w:val="0"/>
      <w:divBdr>
        <w:top w:val="none" w:sz="0" w:space="0" w:color="auto"/>
        <w:left w:val="none" w:sz="0" w:space="0" w:color="auto"/>
        <w:bottom w:val="none" w:sz="0" w:space="0" w:color="auto"/>
        <w:right w:val="none" w:sz="0" w:space="0" w:color="auto"/>
      </w:divBdr>
    </w:div>
    <w:div w:id="904493727">
      <w:bodyDiv w:val="1"/>
      <w:marLeft w:val="0"/>
      <w:marRight w:val="0"/>
      <w:marTop w:val="0"/>
      <w:marBottom w:val="0"/>
      <w:divBdr>
        <w:top w:val="none" w:sz="0" w:space="0" w:color="auto"/>
        <w:left w:val="none" w:sz="0" w:space="0" w:color="auto"/>
        <w:bottom w:val="none" w:sz="0" w:space="0" w:color="auto"/>
        <w:right w:val="none" w:sz="0" w:space="0" w:color="auto"/>
      </w:divBdr>
    </w:div>
    <w:div w:id="1025011646">
      <w:bodyDiv w:val="1"/>
      <w:marLeft w:val="0"/>
      <w:marRight w:val="0"/>
      <w:marTop w:val="0"/>
      <w:marBottom w:val="0"/>
      <w:divBdr>
        <w:top w:val="none" w:sz="0" w:space="0" w:color="auto"/>
        <w:left w:val="none" w:sz="0" w:space="0" w:color="auto"/>
        <w:bottom w:val="none" w:sz="0" w:space="0" w:color="auto"/>
        <w:right w:val="none" w:sz="0" w:space="0" w:color="auto"/>
      </w:divBdr>
    </w:div>
    <w:div w:id="1231237687">
      <w:bodyDiv w:val="1"/>
      <w:marLeft w:val="0"/>
      <w:marRight w:val="0"/>
      <w:marTop w:val="0"/>
      <w:marBottom w:val="0"/>
      <w:divBdr>
        <w:top w:val="none" w:sz="0" w:space="0" w:color="auto"/>
        <w:left w:val="none" w:sz="0" w:space="0" w:color="auto"/>
        <w:bottom w:val="none" w:sz="0" w:space="0" w:color="auto"/>
        <w:right w:val="none" w:sz="0" w:space="0" w:color="auto"/>
      </w:divBdr>
    </w:div>
    <w:div w:id="1466391048">
      <w:bodyDiv w:val="1"/>
      <w:marLeft w:val="0"/>
      <w:marRight w:val="0"/>
      <w:marTop w:val="0"/>
      <w:marBottom w:val="0"/>
      <w:divBdr>
        <w:top w:val="none" w:sz="0" w:space="0" w:color="auto"/>
        <w:left w:val="none" w:sz="0" w:space="0" w:color="auto"/>
        <w:bottom w:val="none" w:sz="0" w:space="0" w:color="auto"/>
        <w:right w:val="none" w:sz="0" w:space="0" w:color="auto"/>
      </w:divBdr>
    </w:div>
    <w:div w:id="1585407772">
      <w:bodyDiv w:val="1"/>
      <w:marLeft w:val="0"/>
      <w:marRight w:val="0"/>
      <w:marTop w:val="0"/>
      <w:marBottom w:val="0"/>
      <w:divBdr>
        <w:top w:val="none" w:sz="0" w:space="0" w:color="auto"/>
        <w:left w:val="none" w:sz="0" w:space="0" w:color="auto"/>
        <w:bottom w:val="none" w:sz="0" w:space="0" w:color="auto"/>
        <w:right w:val="none" w:sz="0" w:space="0" w:color="auto"/>
      </w:divBdr>
    </w:div>
    <w:div w:id="1810660127">
      <w:bodyDiv w:val="1"/>
      <w:marLeft w:val="0"/>
      <w:marRight w:val="0"/>
      <w:marTop w:val="0"/>
      <w:marBottom w:val="0"/>
      <w:divBdr>
        <w:top w:val="none" w:sz="0" w:space="0" w:color="auto"/>
        <w:left w:val="none" w:sz="0" w:space="0" w:color="auto"/>
        <w:bottom w:val="none" w:sz="0" w:space="0" w:color="auto"/>
        <w:right w:val="none" w:sz="0" w:space="0" w:color="auto"/>
      </w:divBdr>
      <w:divsChild>
        <w:div w:id="153254761">
          <w:marLeft w:val="0"/>
          <w:marRight w:val="0"/>
          <w:marTop w:val="0"/>
          <w:marBottom w:val="0"/>
          <w:divBdr>
            <w:top w:val="none" w:sz="0" w:space="0" w:color="auto"/>
            <w:left w:val="none" w:sz="0" w:space="0" w:color="auto"/>
            <w:bottom w:val="none" w:sz="0" w:space="0" w:color="auto"/>
            <w:right w:val="none" w:sz="0" w:space="0" w:color="auto"/>
          </w:divBdr>
        </w:div>
        <w:div w:id="558444192">
          <w:marLeft w:val="0"/>
          <w:marRight w:val="0"/>
          <w:marTop w:val="0"/>
          <w:marBottom w:val="0"/>
          <w:divBdr>
            <w:top w:val="none" w:sz="0" w:space="0" w:color="auto"/>
            <w:left w:val="none" w:sz="0" w:space="0" w:color="auto"/>
            <w:bottom w:val="none" w:sz="0" w:space="0" w:color="auto"/>
            <w:right w:val="none" w:sz="0" w:space="0" w:color="auto"/>
          </w:divBdr>
        </w:div>
        <w:div w:id="559634466">
          <w:marLeft w:val="0"/>
          <w:marRight w:val="0"/>
          <w:marTop w:val="0"/>
          <w:marBottom w:val="0"/>
          <w:divBdr>
            <w:top w:val="none" w:sz="0" w:space="0" w:color="auto"/>
            <w:left w:val="none" w:sz="0" w:space="0" w:color="auto"/>
            <w:bottom w:val="none" w:sz="0" w:space="0" w:color="auto"/>
            <w:right w:val="none" w:sz="0" w:space="0" w:color="auto"/>
          </w:divBdr>
        </w:div>
        <w:div w:id="586616310">
          <w:marLeft w:val="0"/>
          <w:marRight w:val="0"/>
          <w:marTop w:val="0"/>
          <w:marBottom w:val="0"/>
          <w:divBdr>
            <w:top w:val="none" w:sz="0" w:space="0" w:color="auto"/>
            <w:left w:val="none" w:sz="0" w:space="0" w:color="auto"/>
            <w:bottom w:val="none" w:sz="0" w:space="0" w:color="auto"/>
            <w:right w:val="none" w:sz="0" w:space="0" w:color="auto"/>
          </w:divBdr>
        </w:div>
        <w:div w:id="807631332">
          <w:marLeft w:val="0"/>
          <w:marRight w:val="0"/>
          <w:marTop w:val="0"/>
          <w:marBottom w:val="0"/>
          <w:divBdr>
            <w:top w:val="none" w:sz="0" w:space="0" w:color="auto"/>
            <w:left w:val="none" w:sz="0" w:space="0" w:color="auto"/>
            <w:bottom w:val="none" w:sz="0" w:space="0" w:color="auto"/>
            <w:right w:val="none" w:sz="0" w:space="0" w:color="auto"/>
          </w:divBdr>
        </w:div>
        <w:div w:id="939069003">
          <w:marLeft w:val="0"/>
          <w:marRight w:val="0"/>
          <w:marTop w:val="0"/>
          <w:marBottom w:val="0"/>
          <w:divBdr>
            <w:top w:val="none" w:sz="0" w:space="0" w:color="auto"/>
            <w:left w:val="none" w:sz="0" w:space="0" w:color="auto"/>
            <w:bottom w:val="none" w:sz="0" w:space="0" w:color="auto"/>
            <w:right w:val="none" w:sz="0" w:space="0" w:color="auto"/>
          </w:divBdr>
        </w:div>
        <w:div w:id="958923776">
          <w:marLeft w:val="0"/>
          <w:marRight w:val="0"/>
          <w:marTop w:val="0"/>
          <w:marBottom w:val="0"/>
          <w:divBdr>
            <w:top w:val="none" w:sz="0" w:space="0" w:color="auto"/>
            <w:left w:val="none" w:sz="0" w:space="0" w:color="auto"/>
            <w:bottom w:val="none" w:sz="0" w:space="0" w:color="auto"/>
            <w:right w:val="none" w:sz="0" w:space="0" w:color="auto"/>
          </w:divBdr>
        </w:div>
        <w:div w:id="1094859580">
          <w:marLeft w:val="0"/>
          <w:marRight w:val="0"/>
          <w:marTop w:val="0"/>
          <w:marBottom w:val="0"/>
          <w:divBdr>
            <w:top w:val="none" w:sz="0" w:space="0" w:color="auto"/>
            <w:left w:val="none" w:sz="0" w:space="0" w:color="auto"/>
            <w:bottom w:val="none" w:sz="0" w:space="0" w:color="auto"/>
            <w:right w:val="none" w:sz="0" w:space="0" w:color="auto"/>
          </w:divBdr>
        </w:div>
        <w:div w:id="1188134395">
          <w:marLeft w:val="0"/>
          <w:marRight w:val="0"/>
          <w:marTop w:val="0"/>
          <w:marBottom w:val="0"/>
          <w:divBdr>
            <w:top w:val="none" w:sz="0" w:space="0" w:color="auto"/>
            <w:left w:val="none" w:sz="0" w:space="0" w:color="auto"/>
            <w:bottom w:val="none" w:sz="0" w:space="0" w:color="auto"/>
            <w:right w:val="none" w:sz="0" w:space="0" w:color="auto"/>
          </w:divBdr>
        </w:div>
        <w:div w:id="1425613789">
          <w:marLeft w:val="0"/>
          <w:marRight w:val="0"/>
          <w:marTop w:val="0"/>
          <w:marBottom w:val="0"/>
          <w:divBdr>
            <w:top w:val="none" w:sz="0" w:space="0" w:color="auto"/>
            <w:left w:val="none" w:sz="0" w:space="0" w:color="auto"/>
            <w:bottom w:val="none" w:sz="0" w:space="0" w:color="auto"/>
            <w:right w:val="none" w:sz="0" w:space="0" w:color="auto"/>
          </w:divBdr>
        </w:div>
        <w:div w:id="1975064836">
          <w:marLeft w:val="0"/>
          <w:marRight w:val="0"/>
          <w:marTop w:val="0"/>
          <w:marBottom w:val="0"/>
          <w:divBdr>
            <w:top w:val="none" w:sz="0" w:space="0" w:color="auto"/>
            <w:left w:val="none" w:sz="0" w:space="0" w:color="auto"/>
            <w:bottom w:val="none" w:sz="0" w:space="0" w:color="auto"/>
            <w:right w:val="none" w:sz="0" w:space="0" w:color="auto"/>
          </w:divBdr>
        </w:div>
      </w:divsChild>
    </w:div>
    <w:div w:id="213158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2" ma:contentTypeDescription="Create a new document." ma:contentTypeScope="" ma:versionID="ec0cef8316a5565838bd5df300c5e2b6">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8ab68582fc5e4286d9daafc13e837e17"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D53E16-D8C5-4902-838B-343320BB79B4}">
  <ds:schemaRefs>
    <ds:schemaRef ds:uri="http://schemas.openxmlformats.org/officeDocument/2006/bibliography"/>
  </ds:schemaRefs>
</ds:datastoreItem>
</file>

<file path=customXml/itemProps2.xml><?xml version="1.0" encoding="utf-8"?>
<ds:datastoreItem xmlns:ds="http://schemas.openxmlformats.org/officeDocument/2006/customXml" ds:itemID="{88287C40-6953-49BC-B625-E972F8745DFB}"/>
</file>

<file path=customXml/itemProps3.xml><?xml version="1.0" encoding="utf-8"?>
<ds:datastoreItem xmlns:ds="http://schemas.openxmlformats.org/officeDocument/2006/customXml" ds:itemID="{99EBC39A-0E19-4A42-9166-7537E30B8B19}"/>
</file>

<file path=customXml/itemProps4.xml><?xml version="1.0" encoding="utf-8"?>
<ds:datastoreItem xmlns:ds="http://schemas.openxmlformats.org/officeDocument/2006/customXml" ds:itemID="{9AB80E7A-6205-484D-9FDC-90D89DEF90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Bruning</dc:creator>
  <keywords/>
  <dc:description/>
  <lastModifiedBy>Theresa Dykoschak</lastModifiedBy>
  <revision>3</revision>
  <lastPrinted>2018-07-26T22:14:00.0000000Z</lastPrinted>
  <dcterms:created xsi:type="dcterms:W3CDTF">2018-11-30T18:33:00.0000000Z</dcterms:created>
  <dcterms:modified xsi:type="dcterms:W3CDTF">2020-04-24T18:56:26.6879566Z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0x010100CE1FE72F6119C54292A4948876F5C850</vt:lpwstr>
  </property>
</Properties>
</file>